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1DB00" w14:textId="77777777" w:rsidR="00E85802" w:rsidRDefault="00E85802" w:rsidP="00E85802">
      <w:pPr>
        <w:spacing w:after="0" w:line="240" w:lineRule="auto"/>
        <w:jc w:val="center"/>
        <w:rPr>
          <w:rFonts w:ascii="Arial" w:eastAsia="Times New Roman" w:hAnsi="Arial" w:cs="Arial"/>
          <w:b/>
          <w:sz w:val="32"/>
          <w:szCs w:val="32"/>
          <w:lang w:eastAsia="es-MX"/>
        </w:rPr>
      </w:pPr>
    </w:p>
    <w:p w14:paraId="423B811E" w14:textId="77777777" w:rsidR="00E85802" w:rsidRDefault="00E85802" w:rsidP="00E85802">
      <w:pPr>
        <w:spacing w:after="0" w:line="240" w:lineRule="auto"/>
        <w:rPr>
          <w:rFonts w:ascii="Arial" w:eastAsia="Times New Roman" w:hAnsi="Arial" w:cs="Arial"/>
          <w:b/>
          <w:sz w:val="32"/>
          <w:szCs w:val="32"/>
          <w:lang w:eastAsia="es-MX"/>
        </w:rPr>
      </w:pPr>
    </w:p>
    <w:p w14:paraId="7FD527DF" w14:textId="77777777" w:rsidR="00E85802" w:rsidRDefault="00E85802" w:rsidP="00E85802">
      <w:pPr>
        <w:spacing w:after="0" w:line="240" w:lineRule="auto"/>
        <w:jc w:val="center"/>
        <w:rPr>
          <w:rFonts w:ascii="Arial" w:eastAsia="Times New Roman" w:hAnsi="Arial" w:cs="Arial"/>
          <w:b/>
          <w:sz w:val="32"/>
          <w:szCs w:val="32"/>
          <w:lang w:eastAsia="es-MX"/>
        </w:rPr>
      </w:pPr>
    </w:p>
    <w:p w14:paraId="582CB632" w14:textId="4F4303AD" w:rsidR="00E85802" w:rsidRDefault="00E85802" w:rsidP="00472AE8">
      <w:pPr>
        <w:spacing w:after="0" w:line="240" w:lineRule="auto"/>
        <w:jc w:val="center"/>
        <w:rPr>
          <w:rFonts w:ascii="Arial" w:eastAsia="Times New Roman" w:hAnsi="Arial" w:cs="Arial"/>
          <w:b/>
          <w:sz w:val="32"/>
          <w:szCs w:val="32"/>
          <w:lang w:eastAsia="es-MX"/>
        </w:rPr>
      </w:pPr>
      <w:r w:rsidRPr="002E074E">
        <w:rPr>
          <w:rFonts w:ascii="Arial" w:eastAsia="Times New Roman" w:hAnsi="Arial" w:cs="Arial"/>
          <w:b/>
          <w:sz w:val="32"/>
          <w:szCs w:val="32"/>
          <w:lang w:eastAsia="es-MX"/>
        </w:rPr>
        <w:t>LEY DE TRANSPARENCIA Y ACCESO A LA INFORMACIÓN PÚBLICA DEL ESTADO DE MORELOS</w:t>
      </w:r>
    </w:p>
    <w:p w14:paraId="37CC2A55" w14:textId="67680B84" w:rsidR="00472AE8" w:rsidRDefault="00472AE8" w:rsidP="00472AE8">
      <w:pPr>
        <w:spacing w:after="0" w:line="240" w:lineRule="auto"/>
        <w:jc w:val="center"/>
        <w:rPr>
          <w:rFonts w:ascii="Arial" w:eastAsia="Times New Roman" w:hAnsi="Arial" w:cs="Arial"/>
          <w:b/>
          <w:sz w:val="32"/>
          <w:szCs w:val="32"/>
          <w:lang w:eastAsia="es-MX"/>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4EFC7BBF" wp14:editId="10C26E49">
                <wp:simplePos x="0" y="0"/>
                <wp:positionH relativeFrom="margin">
                  <wp:align>center</wp:align>
                </wp:positionH>
                <wp:positionV relativeFrom="paragraph">
                  <wp:posOffset>309880</wp:posOffset>
                </wp:positionV>
                <wp:extent cx="7003415" cy="3228975"/>
                <wp:effectExtent l="0" t="0" r="26035" b="28575"/>
                <wp:wrapNone/>
                <wp:docPr id="154105089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228975"/>
                        </a:xfrm>
                        <a:prstGeom prst="rect">
                          <a:avLst/>
                        </a:prstGeom>
                        <a:solidFill>
                          <a:srgbClr val="FFFFFF"/>
                        </a:solidFill>
                        <a:ln w="12700">
                          <a:solidFill>
                            <a:srgbClr val="000000"/>
                          </a:solidFill>
                          <a:miter lim="800000"/>
                          <a:headEnd/>
                          <a:tailEnd/>
                        </a:ln>
                      </wps:spPr>
                      <wps:txbx>
                        <w:txbxContent>
                          <w:p w14:paraId="2E80C0F8" w14:textId="77777777" w:rsidR="00472AE8" w:rsidRDefault="00472AE8" w:rsidP="00472AE8">
                            <w:pPr>
                              <w:spacing w:after="0" w:line="240" w:lineRule="auto"/>
                              <w:ind w:right="93"/>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104588">
                              <w:rPr>
                                <w:rFonts w:ascii="Arial" w:eastAsia="Times New Roman" w:hAnsi="Arial" w:cs="Arial"/>
                                <w:bCs/>
                                <w:sz w:val="20"/>
                                <w:szCs w:val="20"/>
                                <w:lang w:val="es-ES" w:eastAsia="es-ES"/>
                              </w:rPr>
                              <w:t>La disposición transitoria tercera abroga la Ley de Información Pública, Estadística y Protección de Datos Personales del Estado de Morelos, publicada el 27 de agosto de 2003, en el Periódico Oficial “Tierra y Libertad”.</w:t>
                            </w:r>
                          </w:p>
                          <w:p w14:paraId="1C77A584" w14:textId="77777777" w:rsidR="00472AE8" w:rsidRDefault="00472AE8" w:rsidP="00472AE8">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sz w:val="20"/>
                                <w:szCs w:val="20"/>
                                <w:u w:color="000000"/>
                                <w:bdr w:val="nil"/>
                                <w:lang w:eastAsia="es-MX"/>
                              </w:rPr>
                              <w:t xml:space="preserve">- </w:t>
                            </w:r>
                            <w:r w:rsidRPr="00846AFB">
                              <w:rPr>
                                <w:rFonts w:ascii="Arial" w:hAnsi="Arial" w:cs="Arial"/>
                                <w:sz w:val="20"/>
                                <w:szCs w:val="20"/>
                                <w:u w:color="000000"/>
                                <w:bdr w:val="nil"/>
                                <w:lang w:eastAsia="es-MX"/>
                              </w:rPr>
                              <w:t>Fe de erratas publicada en el Periódico Oficial “Tierra y Libertad”</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No. 5399</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de fecha 2016/05/25</w:t>
                            </w:r>
                            <w:r>
                              <w:rPr>
                                <w:rFonts w:ascii="Arial" w:hAnsi="Arial" w:cs="Arial"/>
                                <w:sz w:val="20"/>
                                <w:szCs w:val="20"/>
                                <w:u w:color="000000"/>
                                <w:bdr w:val="nil"/>
                                <w:lang w:eastAsia="es-MX"/>
                              </w:rPr>
                              <w:t>.</w:t>
                            </w:r>
                          </w:p>
                          <w:p w14:paraId="35156E01" w14:textId="77777777" w:rsidR="00472AE8" w:rsidRPr="00846AFB" w:rsidRDefault="00472AE8" w:rsidP="00472AE8">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bCs/>
                                <w:sz w:val="20"/>
                                <w:szCs w:val="20"/>
                                <w:lang w:val="es-ES"/>
                              </w:rPr>
                              <w:t xml:space="preserve">- </w:t>
                            </w:r>
                            <w:r w:rsidRPr="008D7413">
                              <w:rPr>
                                <w:rFonts w:ascii="Arial" w:hAnsi="Arial" w:cs="Arial"/>
                                <w:bCs/>
                                <w:sz w:val="20"/>
                                <w:szCs w:val="20"/>
                                <w:lang w:val="es-ES"/>
                              </w:rPr>
                              <w:t xml:space="preserve">Se reforma </w:t>
                            </w:r>
                            <w:r w:rsidRPr="008D7413">
                              <w:rPr>
                                <w:rFonts w:ascii="Arial" w:eastAsia="Times New Roman" w:hAnsi="Arial" w:cs="Arial"/>
                                <w:bCs/>
                                <w:sz w:val="20"/>
                                <w:szCs w:val="20"/>
                                <w:shd w:val="clear" w:color="auto" w:fill="FFFFFF"/>
                                <w:lang w:val="es-ES" w:eastAsia="es-ES"/>
                              </w:rPr>
                              <w:t xml:space="preserve">la </w:t>
                            </w:r>
                            <w:r w:rsidRPr="008D7413">
                              <w:rPr>
                                <w:rFonts w:ascii="Arial" w:eastAsia="Times New Roman" w:hAnsi="Arial" w:cs="Arial"/>
                                <w:bCs/>
                                <w:sz w:val="20"/>
                                <w:szCs w:val="20"/>
                                <w:u w:color="000000"/>
                                <w:bdr w:val="nil"/>
                                <w:lang w:val="es-ES" w:eastAsia="es-ES"/>
                              </w:rPr>
                              <w:t xml:space="preserve">fracción III primer párrafo del artículo 141, 145, párrafo primero </w:t>
                            </w:r>
                            <w:r>
                              <w:rPr>
                                <w:rFonts w:ascii="Arial" w:eastAsia="Times New Roman" w:hAnsi="Arial" w:cs="Arial"/>
                                <w:bCs/>
                                <w:sz w:val="20"/>
                                <w:szCs w:val="20"/>
                                <w:u w:color="000000"/>
                                <w:bdr w:val="nil"/>
                                <w:lang w:val="es-ES" w:eastAsia="es-ES"/>
                              </w:rPr>
                              <w:t xml:space="preserve">del artículo </w:t>
                            </w:r>
                            <w:r w:rsidRPr="008D7413">
                              <w:rPr>
                                <w:rFonts w:ascii="Arial" w:eastAsia="Times New Roman" w:hAnsi="Arial" w:cs="Arial"/>
                                <w:bCs/>
                                <w:sz w:val="20"/>
                                <w:szCs w:val="20"/>
                                <w:u w:color="000000"/>
                                <w:bdr w:val="nil"/>
                                <w:lang w:val="es-ES" w:eastAsia="es-ES"/>
                              </w:rPr>
                              <w:t>147, 148, párrafo primero del artículo 149, fracciones I segundo párrafo, II y III del artículo 158</w:t>
                            </w:r>
                            <w:r>
                              <w:rPr>
                                <w:rFonts w:ascii="Arial" w:eastAsia="Times New Roman" w:hAnsi="Arial" w:cs="Arial"/>
                                <w:bCs/>
                                <w:sz w:val="20"/>
                                <w:szCs w:val="20"/>
                                <w:u w:color="000000"/>
                                <w:bdr w:val="nil"/>
                                <w:lang w:val="es-ES" w:eastAsia="es-ES"/>
                              </w:rPr>
                              <w:t>, por artículo único del Decreto No. 1500 publicado en el Periódico Oficial “Tierra y Libertad” No. 5478 de fecha 2017/03/01. Vigencia 2017/03/02.</w:t>
                            </w:r>
                          </w:p>
                          <w:p w14:paraId="1229E6EC" w14:textId="77777777" w:rsidR="00472AE8" w:rsidRDefault="00472AE8" w:rsidP="00472AE8">
                            <w:pPr>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CA6966">
                              <w:rPr>
                                <w:rFonts w:ascii="Arial" w:eastAsia="Times New Roman" w:hAnsi="Arial" w:cs="Arial"/>
                                <w:bCs/>
                                <w:sz w:val="20"/>
                                <w:szCs w:val="20"/>
                                <w:lang w:val="es-ES" w:eastAsia="es-ES"/>
                              </w:rPr>
                              <w:t>Se reforman, la fracción VII del artículo 30, y la fracción I del artículo 119</w:t>
                            </w:r>
                            <w:r>
                              <w:rPr>
                                <w:rFonts w:ascii="Arial" w:eastAsia="Times New Roman" w:hAnsi="Arial" w:cs="Arial"/>
                                <w:bCs/>
                                <w:sz w:val="20"/>
                                <w:szCs w:val="20"/>
                                <w:lang w:val="es-ES" w:eastAsia="es-ES"/>
                              </w:rPr>
                              <w:t>, por artículo primero y s</w:t>
                            </w:r>
                            <w:r w:rsidRPr="00CA6966">
                              <w:rPr>
                                <w:rFonts w:ascii="Arial" w:eastAsia="Times New Roman" w:hAnsi="Arial" w:cs="Arial"/>
                                <w:bCs/>
                                <w:sz w:val="20"/>
                                <w:szCs w:val="20"/>
                                <w:lang w:val="es-ES" w:eastAsia="es-ES"/>
                              </w:rPr>
                              <w:t>e adiciona un penúltimo párrafo al artículo 119</w:t>
                            </w:r>
                            <w:r>
                              <w:rPr>
                                <w:rFonts w:ascii="Arial" w:eastAsia="Times New Roman" w:hAnsi="Arial" w:cs="Arial"/>
                                <w:bCs/>
                                <w:sz w:val="20"/>
                                <w:szCs w:val="20"/>
                                <w:lang w:val="es-ES" w:eastAsia="es-ES"/>
                              </w:rPr>
                              <w:t>, por artículo segundo del Decreto No. 1756 publicado en el Periódico Oficial “Tierra y Libertad” No. 5490 de fecha 2017/04/19. Vigencia 2017/04/20.</w:t>
                            </w:r>
                          </w:p>
                          <w:p w14:paraId="6C8C94F1" w14:textId="77777777" w:rsidR="00472AE8" w:rsidRDefault="00472AE8" w:rsidP="00472AE8">
                            <w:pPr>
                              <w:widowControl w:val="0"/>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B30FF">
                              <w:rPr>
                                <w:rFonts w:ascii="Arial" w:eastAsia="Times New Roman" w:hAnsi="Arial" w:cs="Arial"/>
                                <w:bCs/>
                                <w:sz w:val="20"/>
                                <w:szCs w:val="20"/>
                                <w:lang w:val="es-ES" w:eastAsia="es-ES"/>
                              </w:rPr>
                              <w:t xml:space="preserve">La </w:t>
                            </w:r>
                            <w:r>
                              <w:rPr>
                                <w:rFonts w:ascii="Arial" w:eastAsia="Times New Roman" w:hAnsi="Arial" w:cs="Arial"/>
                                <w:bCs/>
                                <w:sz w:val="20"/>
                                <w:szCs w:val="20"/>
                                <w:lang w:val="es-ES" w:eastAsia="es-ES"/>
                              </w:rPr>
                              <w:t xml:space="preserve">disposición transitoria tercera de la </w:t>
                            </w:r>
                            <w:r w:rsidRPr="003B30FF">
                              <w:rPr>
                                <w:rFonts w:ascii="Arial" w:eastAsia="Times New Roman" w:hAnsi="Arial" w:cs="Arial"/>
                                <w:bCs/>
                                <w:sz w:val="20"/>
                                <w:szCs w:val="20"/>
                                <w:lang w:val="es-ES" w:eastAsia="es-ES"/>
                              </w:rPr>
                              <w:t>Ley de Protección de Datos Personales en Posesión de Sujetos Obligados del Estado de Morelos</w:t>
                            </w:r>
                            <w:r>
                              <w:rPr>
                                <w:rFonts w:ascii="Arial" w:eastAsia="Times New Roman" w:hAnsi="Arial" w:cs="Arial"/>
                                <w:bCs/>
                                <w:sz w:val="20"/>
                                <w:szCs w:val="20"/>
                                <w:lang w:val="es-ES" w:eastAsia="es-ES"/>
                              </w:rPr>
                              <w:t xml:space="preserve">, </w:t>
                            </w:r>
                            <w:r w:rsidRPr="003B30FF">
                              <w:rPr>
                                <w:rFonts w:ascii="Arial" w:eastAsia="Times New Roman" w:hAnsi="Arial" w:cs="Arial"/>
                                <w:bCs/>
                                <w:sz w:val="20"/>
                                <w:szCs w:val="20"/>
                                <w:lang w:val="es-ES" w:eastAsia="es-ES"/>
                              </w:rPr>
                              <w:t>deroga el Título Décimo Primero y sus Capítulos I y II, así c</w:t>
                            </w:r>
                            <w:r>
                              <w:rPr>
                                <w:rFonts w:ascii="Arial" w:eastAsia="Times New Roman" w:hAnsi="Arial" w:cs="Arial"/>
                                <w:bCs/>
                                <w:sz w:val="20"/>
                                <w:szCs w:val="20"/>
                                <w:lang w:val="es-ES" w:eastAsia="es-ES"/>
                              </w:rPr>
                              <w:t>omo los artículos 159 al 172 a la presente ley, publicada en el Periódico Oficial “Tierra y Libertad” No. 5516 de fecha 2017/07/26. Vigencia 2017/07/27.</w:t>
                            </w:r>
                          </w:p>
                          <w:p w14:paraId="683ADE01" w14:textId="19B9A01C" w:rsidR="00472AE8" w:rsidRPr="003B30FF" w:rsidRDefault="00472AE8" w:rsidP="00472AE8">
                            <w:pPr>
                              <w:widowControl w:val="0"/>
                              <w:spacing w:after="0" w:line="240" w:lineRule="auto"/>
                              <w:ind w:right="93"/>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Acción de inconstitucionalidad mediante la cual se declara la invalidez de los artículo 117, párrafo primero, en su porción normativa “dentro de los treinta días hábiles siguientes a la fecha de la notificación de la respuesta, o del vencimiento del plazo para su notificación”, 121, párrafo segundo, en su porción normativa “por lo que comenzará a computarse a partir del día siguiente de la admisión”, 123, párrafo primero, 126, párrafos primero, en su porción normativa “quien deberá acatar la resolución en un plazo no mayor de cinco días hábiles” y cuarto, en su porción normativa “El organismo garante, al resolver el recurso de revisión, podrá excepcionalmente divulgar los datos personales, siempre que realice una valoración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C7BBF" id="Rectángulo 11" o:spid="_x0000_s1026" style="position:absolute;left:0;text-align:left;margin-left:0;margin-top:24.4pt;width:551.45pt;height:254.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" strokeweight="1pt">
                <v:textbox>
                  <w:txbxContent>
                    <w:p w14:paraId="2E80C0F8" w14:textId="77777777" w:rsidR="00472AE8" w:rsidRDefault="00472AE8" w:rsidP="00472AE8">
                      <w:pPr>
                        <w:spacing w:after="0" w:line="240" w:lineRule="auto"/>
                        <w:ind w:right="93"/>
                        <w:jc w:val="both"/>
                        <w:rPr>
                          <w:rFonts w:ascii="Arial" w:eastAsia="Times New Roman" w:hAnsi="Arial" w:cs="Arial"/>
                          <w:bCs/>
                          <w:sz w:val="20"/>
                          <w:szCs w:val="20"/>
                          <w:lang w:val="es-ES" w:eastAsia="es-ES"/>
                        </w:rPr>
                      </w:pPr>
                      <w:r w:rsidRPr="00CE7433">
                        <w:rPr>
                          <w:rFonts w:ascii="Arial" w:hAnsi="Arial" w:cs="Arial"/>
                          <w:b/>
                          <w:sz w:val="20"/>
                          <w:szCs w:val="20"/>
                        </w:rPr>
                        <w:t>OBSERVACIONES GENERALES.-</w:t>
                      </w:r>
                      <w:r>
                        <w:rPr>
                          <w:rFonts w:ascii="Arial" w:hAnsi="Arial" w:cs="Arial"/>
                          <w:b/>
                          <w:sz w:val="20"/>
                          <w:szCs w:val="20"/>
                        </w:rPr>
                        <w:t xml:space="preserve"> </w:t>
                      </w:r>
                      <w:r w:rsidRPr="00104588">
                        <w:rPr>
                          <w:rFonts w:ascii="Arial" w:eastAsia="Times New Roman" w:hAnsi="Arial" w:cs="Arial"/>
                          <w:bCs/>
                          <w:sz w:val="20"/>
                          <w:szCs w:val="20"/>
                          <w:lang w:val="es-ES" w:eastAsia="es-ES"/>
                        </w:rPr>
                        <w:t>La disposición transitoria tercera abroga la Ley de Información Pública, Estadística y Protección de Datos Personales del Estado de Morelos, publicada el 27 de agosto de 2003, en el Periódico Oficial “Tierra y Libertad”.</w:t>
                      </w:r>
                    </w:p>
                    <w:p w14:paraId="1C77A584" w14:textId="77777777" w:rsidR="00472AE8" w:rsidRDefault="00472AE8" w:rsidP="00472AE8">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sz w:val="20"/>
                          <w:szCs w:val="20"/>
                          <w:u w:color="000000"/>
                          <w:bdr w:val="nil"/>
                          <w:lang w:eastAsia="es-MX"/>
                        </w:rPr>
                        <w:t xml:space="preserve">- </w:t>
                      </w:r>
                      <w:r w:rsidRPr="00846AFB">
                        <w:rPr>
                          <w:rFonts w:ascii="Arial" w:hAnsi="Arial" w:cs="Arial"/>
                          <w:sz w:val="20"/>
                          <w:szCs w:val="20"/>
                          <w:u w:color="000000"/>
                          <w:bdr w:val="nil"/>
                          <w:lang w:eastAsia="es-MX"/>
                        </w:rPr>
                        <w:t>Fe de erratas publicada en el Periódico Oficial “Tierra y Libertad”</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No. 5399</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de fecha 2016/05/25</w:t>
                      </w:r>
                      <w:r>
                        <w:rPr>
                          <w:rFonts w:ascii="Arial" w:hAnsi="Arial" w:cs="Arial"/>
                          <w:sz w:val="20"/>
                          <w:szCs w:val="20"/>
                          <w:u w:color="000000"/>
                          <w:bdr w:val="nil"/>
                          <w:lang w:eastAsia="es-MX"/>
                        </w:rPr>
                        <w:t>.</w:t>
                      </w:r>
                    </w:p>
                    <w:p w14:paraId="35156E01" w14:textId="77777777" w:rsidR="00472AE8" w:rsidRPr="00846AFB" w:rsidRDefault="00472AE8" w:rsidP="00472AE8">
                      <w:pPr>
                        <w:pBdr>
                          <w:top w:val="nil"/>
                          <w:left w:val="nil"/>
                          <w:bottom w:val="nil"/>
                          <w:right w:val="nil"/>
                          <w:between w:val="nil"/>
                          <w:bar w:val="nil"/>
                        </w:pBdr>
                        <w:spacing w:after="0" w:line="240" w:lineRule="auto"/>
                        <w:ind w:right="93"/>
                        <w:jc w:val="both"/>
                        <w:rPr>
                          <w:rFonts w:ascii="Arial" w:hAnsi="Arial" w:cs="Arial"/>
                          <w:sz w:val="20"/>
                          <w:szCs w:val="20"/>
                          <w:u w:color="000000"/>
                          <w:bdr w:val="nil"/>
                          <w:lang w:eastAsia="es-MX"/>
                        </w:rPr>
                      </w:pPr>
                      <w:r>
                        <w:rPr>
                          <w:rFonts w:ascii="Arial" w:hAnsi="Arial" w:cs="Arial"/>
                          <w:bCs/>
                          <w:sz w:val="20"/>
                          <w:szCs w:val="20"/>
                          <w:lang w:val="es-ES"/>
                        </w:rPr>
                        <w:t xml:space="preserve">- </w:t>
                      </w:r>
                      <w:r w:rsidRPr="008D7413">
                        <w:rPr>
                          <w:rFonts w:ascii="Arial" w:hAnsi="Arial" w:cs="Arial"/>
                          <w:bCs/>
                          <w:sz w:val="20"/>
                          <w:szCs w:val="20"/>
                          <w:lang w:val="es-ES"/>
                        </w:rPr>
                        <w:t xml:space="preserve">Se reforma </w:t>
                      </w:r>
                      <w:r w:rsidRPr="008D7413">
                        <w:rPr>
                          <w:rFonts w:ascii="Arial" w:eastAsia="Times New Roman" w:hAnsi="Arial" w:cs="Arial"/>
                          <w:bCs/>
                          <w:sz w:val="20"/>
                          <w:szCs w:val="20"/>
                          <w:shd w:val="clear" w:color="auto" w:fill="FFFFFF"/>
                          <w:lang w:val="es-ES" w:eastAsia="es-ES"/>
                        </w:rPr>
                        <w:t xml:space="preserve">la </w:t>
                      </w:r>
                      <w:r w:rsidRPr="008D7413">
                        <w:rPr>
                          <w:rFonts w:ascii="Arial" w:eastAsia="Times New Roman" w:hAnsi="Arial" w:cs="Arial"/>
                          <w:bCs/>
                          <w:sz w:val="20"/>
                          <w:szCs w:val="20"/>
                          <w:u w:color="000000"/>
                          <w:bdr w:val="nil"/>
                          <w:lang w:val="es-ES" w:eastAsia="es-ES"/>
                        </w:rPr>
                        <w:t xml:space="preserve">fracción III primer párrafo del artículo 141, 145, párrafo primero </w:t>
                      </w:r>
                      <w:r>
                        <w:rPr>
                          <w:rFonts w:ascii="Arial" w:eastAsia="Times New Roman" w:hAnsi="Arial" w:cs="Arial"/>
                          <w:bCs/>
                          <w:sz w:val="20"/>
                          <w:szCs w:val="20"/>
                          <w:u w:color="000000"/>
                          <w:bdr w:val="nil"/>
                          <w:lang w:val="es-ES" w:eastAsia="es-ES"/>
                        </w:rPr>
                        <w:t xml:space="preserve">del artículo </w:t>
                      </w:r>
                      <w:r w:rsidRPr="008D7413">
                        <w:rPr>
                          <w:rFonts w:ascii="Arial" w:eastAsia="Times New Roman" w:hAnsi="Arial" w:cs="Arial"/>
                          <w:bCs/>
                          <w:sz w:val="20"/>
                          <w:szCs w:val="20"/>
                          <w:u w:color="000000"/>
                          <w:bdr w:val="nil"/>
                          <w:lang w:val="es-ES" w:eastAsia="es-ES"/>
                        </w:rPr>
                        <w:t>147, 148, párrafo primero del artículo 149, fracciones I segundo párrafo, II y III del artículo 158</w:t>
                      </w:r>
                      <w:r>
                        <w:rPr>
                          <w:rFonts w:ascii="Arial" w:eastAsia="Times New Roman" w:hAnsi="Arial" w:cs="Arial"/>
                          <w:bCs/>
                          <w:sz w:val="20"/>
                          <w:szCs w:val="20"/>
                          <w:u w:color="000000"/>
                          <w:bdr w:val="nil"/>
                          <w:lang w:val="es-ES" w:eastAsia="es-ES"/>
                        </w:rPr>
                        <w:t>, por artículo único del Decreto No. 1500 publicado en el Periódico Oficial “Tierra y Libertad” No. 5478 de fecha 2017/03/01. Vigencia 2017/03/02.</w:t>
                      </w:r>
                    </w:p>
                    <w:p w14:paraId="1229E6EC" w14:textId="77777777" w:rsidR="00472AE8" w:rsidRDefault="00472AE8" w:rsidP="00472AE8">
                      <w:pPr>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CA6966">
                        <w:rPr>
                          <w:rFonts w:ascii="Arial" w:eastAsia="Times New Roman" w:hAnsi="Arial" w:cs="Arial"/>
                          <w:bCs/>
                          <w:sz w:val="20"/>
                          <w:szCs w:val="20"/>
                          <w:lang w:val="es-ES" w:eastAsia="es-ES"/>
                        </w:rPr>
                        <w:t>Se reforman, la fracción VII del artículo 30, y la fracción I del artículo 119</w:t>
                      </w:r>
                      <w:r>
                        <w:rPr>
                          <w:rFonts w:ascii="Arial" w:eastAsia="Times New Roman" w:hAnsi="Arial" w:cs="Arial"/>
                          <w:bCs/>
                          <w:sz w:val="20"/>
                          <w:szCs w:val="20"/>
                          <w:lang w:val="es-ES" w:eastAsia="es-ES"/>
                        </w:rPr>
                        <w:t>, por artículo primero y s</w:t>
                      </w:r>
                      <w:r w:rsidRPr="00CA6966">
                        <w:rPr>
                          <w:rFonts w:ascii="Arial" w:eastAsia="Times New Roman" w:hAnsi="Arial" w:cs="Arial"/>
                          <w:bCs/>
                          <w:sz w:val="20"/>
                          <w:szCs w:val="20"/>
                          <w:lang w:val="es-ES" w:eastAsia="es-ES"/>
                        </w:rPr>
                        <w:t>e adiciona un penúltimo párrafo al artículo 119</w:t>
                      </w:r>
                      <w:r>
                        <w:rPr>
                          <w:rFonts w:ascii="Arial" w:eastAsia="Times New Roman" w:hAnsi="Arial" w:cs="Arial"/>
                          <w:bCs/>
                          <w:sz w:val="20"/>
                          <w:szCs w:val="20"/>
                          <w:lang w:val="es-ES" w:eastAsia="es-ES"/>
                        </w:rPr>
                        <w:t>, por artículo segundo del Decreto No. 1756 publicado en el Periódico Oficial “Tierra y Libertad” No. 5490 de fecha 2017/04/19. Vigencia 2017/04/20.</w:t>
                      </w:r>
                    </w:p>
                    <w:p w14:paraId="6C8C94F1" w14:textId="77777777" w:rsidR="00472AE8" w:rsidRDefault="00472AE8" w:rsidP="00472AE8">
                      <w:pPr>
                        <w:widowControl w:val="0"/>
                        <w:spacing w:after="0" w:line="240" w:lineRule="auto"/>
                        <w:ind w:right="9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B30FF">
                        <w:rPr>
                          <w:rFonts w:ascii="Arial" w:eastAsia="Times New Roman" w:hAnsi="Arial" w:cs="Arial"/>
                          <w:bCs/>
                          <w:sz w:val="20"/>
                          <w:szCs w:val="20"/>
                          <w:lang w:val="es-ES" w:eastAsia="es-ES"/>
                        </w:rPr>
                        <w:t xml:space="preserve">La </w:t>
                      </w:r>
                      <w:r>
                        <w:rPr>
                          <w:rFonts w:ascii="Arial" w:eastAsia="Times New Roman" w:hAnsi="Arial" w:cs="Arial"/>
                          <w:bCs/>
                          <w:sz w:val="20"/>
                          <w:szCs w:val="20"/>
                          <w:lang w:val="es-ES" w:eastAsia="es-ES"/>
                        </w:rPr>
                        <w:t xml:space="preserve">disposición transitoria tercera de la </w:t>
                      </w:r>
                      <w:r w:rsidRPr="003B30FF">
                        <w:rPr>
                          <w:rFonts w:ascii="Arial" w:eastAsia="Times New Roman" w:hAnsi="Arial" w:cs="Arial"/>
                          <w:bCs/>
                          <w:sz w:val="20"/>
                          <w:szCs w:val="20"/>
                          <w:lang w:val="es-ES" w:eastAsia="es-ES"/>
                        </w:rPr>
                        <w:t>Ley de Protección de Datos Personales en Posesión de Sujetos Obligados del Estado de Morelos</w:t>
                      </w:r>
                      <w:r>
                        <w:rPr>
                          <w:rFonts w:ascii="Arial" w:eastAsia="Times New Roman" w:hAnsi="Arial" w:cs="Arial"/>
                          <w:bCs/>
                          <w:sz w:val="20"/>
                          <w:szCs w:val="20"/>
                          <w:lang w:val="es-ES" w:eastAsia="es-ES"/>
                        </w:rPr>
                        <w:t xml:space="preserve">, </w:t>
                      </w:r>
                      <w:r w:rsidRPr="003B30FF">
                        <w:rPr>
                          <w:rFonts w:ascii="Arial" w:eastAsia="Times New Roman" w:hAnsi="Arial" w:cs="Arial"/>
                          <w:bCs/>
                          <w:sz w:val="20"/>
                          <w:szCs w:val="20"/>
                          <w:lang w:val="es-ES" w:eastAsia="es-ES"/>
                        </w:rPr>
                        <w:t>deroga el Título Décimo Primero y sus Capítulos I y II, así c</w:t>
                      </w:r>
                      <w:r>
                        <w:rPr>
                          <w:rFonts w:ascii="Arial" w:eastAsia="Times New Roman" w:hAnsi="Arial" w:cs="Arial"/>
                          <w:bCs/>
                          <w:sz w:val="20"/>
                          <w:szCs w:val="20"/>
                          <w:lang w:val="es-ES" w:eastAsia="es-ES"/>
                        </w:rPr>
                        <w:t>omo los artículos 159 al 172 a la presente ley, publicada en el Periódico Oficial “Tierra y Libertad” No. 5516 de fecha 2017/07/26. Vigencia 2017/07/27.</w:t>
                      </w:r>
                    </w:p>
                    <w:p w14:paraId="683ADE01" w14:textId="19B9A01C" w:rsidR="00472AE8" w:rsidRPr="003B30FF" w:rsidRDefault="00472AE8" w:rsidP="00472AE8">
                      <w:pPr>
                        <w:widowControl w:val="0"/>
                        <w:spacing w:after="0" w:line="240" w:lineRule="auto"/>
                        <w:ind w:right="93"/>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Acción de inconstitucionalidad mediante la cual se declara la invalidez de los artículo 117, párrafo primero, en su porción normativa “dentro de los treinta días hábiles siguientes a la fecha de la notificación de la respuesta, o del vencimiento del plazo para su notificación”, 121, párrafo segundo, en su porción normativa “por lo que comenzará a computarse a partir del día siguiente de la admisión”, 123, párrafo primero, 126, párrafos primero, en su porción normativa “quien deberá acatar la resolución en un plazo no mayor de cinco días hábiles” y cuarto, en su porción normativa “El organismo garante, al resolver el recurso de revisión, podrá excepcionalmente divulgar los datos personales, siempre que realice una valoración y</w:t>
                      </w:r>
                    </w:p>
                  </w:txbxContent>
                </v:textbox>
                <w10:wrap anchorx="margin"/>
              </v:rect>
            </w:pict>
          </mc:Fallback>
        </mc:AlternateContent>
      </w:r>
    </w:p>
    <w:p w14:paraId="2F245031" w14:textId="2AC51FF7" w:rsidR="00472AE8" w:rsidRDefault="00472AE8">
      <w:pPr>
        <w:spacing w:after="0" w:line="240" w:lineRule="auto"/>
        <w:rPr>
          <w:rFonts w:ascii="Arial" w:eastAsia="Times New Roman" w:hAnsi="Arial" w:cs="Arial"/>
          <w:b/>
          <w:sz w:val="32"/>
          <w:szCs w:val="32"/>
          <w:lang w:eastAsia="es-MX"/>
        </w:rPr>
      </w:pPr>
      <w:r>
        <w:rPr>
          <w:rFonts w:ascii="Arial" w:eastAsia="Times New Roman" w:hAnsi="Arial" w:cs="Arial"/>
          <w:b/>
          <w:sz w:val="32"/>
          <w:szCs w:val="32"/>
          <w:lang w:eastAsia="es-MX"/>
        </w:rPr>
        <w:br w:type="page"/>
      </w:r>
    </w:p>
    <w:p w14:paraId="4656806B" w14:textId="6BB41DFF" w:rsidR="00E85802" w:rsidRDefault="00472AE8" w:rsidP="00E85802">
      <w:pPr>
        <w:spacing w:after="0" w:line="240" w:lineRule="auto"/>
        <w:ind w:left="-993" w:right="-801"/>
        <w:jc w:val="both"/>
        <w:rPr>
          <w:rFonts w:ascii="Arial" w:eastAsia="Times New Roman" w:hAnsi="Arial" w:cs="Arial"/>
          <w:bCs/>
          <w:sz w:val="20"/>
          <w:szCs w:val="20"/>
          <w:lang w:val="es-ES" w:eastAsia="es-ES"/>
        </w:rPr>
      </w:pPr>
      <w:r w:rsidRPr="00472AE8">
        <w:rPr>
          <w:rFonts w:ascii="Arial" w:eastAsia="Times New Roman" w:hAnsi="Arial" w:cs="Arial"/>
          <w:bCs/>
          <w:sz w:val="20"/>
          <w:szCs w:val="20"/>
          <w:lang w:val="es-ES" w:eastAsia="es-ES"/>
        </w:rPr>
        <w:lastRenderedPageBreak/>
        <w:t>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los intereses de los particulares”, 127, fracciones II, en su porción normativa “en un plazo máximo de cinco días” y III, en su porción normativa “Dentro del plazo mencionado en la fracción II del presente</w:t>
      </w:r>
      <w:r>
        <w:rPr>
          <w:rFonts w:ascii="Arial" w:eastAsia="Times New Roman" w:hAnsi="Arial" w:cs="Arial"/>
          <w:bCs/>
          <w:sz w:val="20"/>
          <w:szCs w:val="20"/>
          <w:lang w:val="es-ES" w:eastAsia="es-ES"/>
        </w:rPr>
        <w:t xml:space="preserve"> </w:t>
      </w:r>
      <w:r w:rsidR="00E85802">
        <w:rPr>
          <w:rFonts w:ascii="Arial" w:eastAsia="Times New Roman" w:hAnsi="Arial" w:cs="Arial"/>
          <w:bCs/>
          <w:sz w:val="20"/>
          <w:szCs w:val="20"/>
          <w:lang w:val="es-ES" w:eastAsia="es-ES"/>
        </w:rPr>
        <w:t>a</w:t>
      </w:r>
      <w:r w:rsidR="00E85802" w:rsidRPr="00940F69">
        <w:rPr>
          <w:rFonts w:ascii="Arial" w:eastAsia="Times New Roman" w:hAnsi="Arial" w:cs="Arial"/>
          <w:bCs/>
          <w:sz w:val="20"/>
          <w:szCs w:val="20"/>
          <w:lang w:val="es-ES" w:eastAsia="es-ES"/>
        </w:rPr>
        <w:t>rtículo</w:t>
      </w:r>
      <w:r w:rsidR="00E85802">
        <w:rPr>
          <w:rFonts w:ascii="Arial" w:eastAsia="Times New Roman" w:hAnsi="Arial" w:cs="Arial"/>
          <w:bCs/>
          <w:sz w:val="20"/>
          <w:szCs w:val="20"/>
          <w:lang w:val="es-ES" w:eastAsia="es-ES"/>
        </w:rPr>
        <w:t>” y 129, párrafo primero, en su porción normativa “de conformidad con el Capítulo II del Título Cuarto de la presente Ley”. Sentencia publicada en el Periódico Oficial “Tierra y Libertad” No. 5760 de fecha 2019/11/20. La declaratoria de invalidez comenzó a surtir sus efectos, a partir de la notificación realizada al Congreso del Estado de Morelos.</w:t>
      </w:r>
    </w:p>
    <w:p w14:paraId="7F89640E" w14:textId="77777777" w:rsidR="00E85802" w:rsidRDefault="00E85802" w:rsidP="00E85802">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F7349">
        <w:rPr>
          <w:rFonts w:ascii="Arial" w:eastAsia="Times New Roman" w:hAnsi="Arial" w:cs="Arial"/>
          <w:bCs/>
          <w:sz w:val="20"/>
          <w:szCs w:val="20"/>
          <w:lang w:val="es-ES" w:eastAsia="es-ES"/>
        </w:rPr>
        <w:t>Se reforman la fracción XXXIV del artículo 51; el primer párrafo y la fracción I del artículo 54; 117; párrafos primero y segundo del artículo 121; párrafo primero del artículo 123; 126; fracción II del artículo 127 y 129; y se adiciona una fracción XIII, al artículo 118</w:t>
      </w:r>
      <w:r>
        <w:rPr>
          <w:rFonts w:ascii="Arial" w:eastAsia="Times New Roman" w:hAnsi="Arial" w:cs="Arial"/>
          <w:bCs/>
          <w:sz w:val="20"/>
          <w:szCs w:val="20"/>
          <w:lang w:val="es-ES" w:eastAsia="es-ES"/>
        </w:rPr>
        <w:t>, por artículo único del Decreto No. 37, publicado en el Periódico Oficial “Tierra y Libertad” No. 6025, de fecha 2021/12/22. Vigencia: 2021/12/23.</w:t>
      </w:r>
    </w:p>
    <w:p w14:paraId="54D06F76" w14:textId="77777777" w:rsidR="00E85802" w:rsidRDefault="00E85802" w:rsidP="00E85802">
      <w:pPr>
        <w:spacing w:after="0" w:line="240" w:lineRule="auto"/>
        <w:ind w:left="-993" w:right="-801"/>
        <w:jc w:val="both"/>
        <w:rPr>
          <w:rFonts w:ascii="Arial" w:eastAsia="Times New Roman" w:hAnsi="Arial" w:cs="Arial"/>
          <w:bCs/>
          <w:iCs/>
          <w:sz w:val="20"/>
          <w:szCs w:val="20"/>
          <w:lang w:eastAsia="es-ES"/>
        </w:rPr>
      </w:pP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Se adiciona un numeral 4 al artículo 18, recorriéndose en su orden las subsecuentes</w:t>
      </w:r>
      <w:r>
        <w:rPr>
          <w:rFonts w:ascii="Arial" w:eastAsia="Times New Roman" w:hAnsi="Arial" w:cs="Arial"/>
          <w:bCs/>
          <w:sz w:val="20"/>
          <w:szCs w:val="20"/>
          <w:lang w:val="es-ES" w:eastAsia="es-ES"/>
        </w:rPr>
        <w:t xml:space="preserve">, por </w:t>
      </w:r>
      <w:r w:rsidRPr="002030C5">
        <w:rPr>
          <w:rFonts w:ascii="Arial" w:eastAsia="Times New Roman" w:hAnsi="Arial" w:cs="Arial"/>
          <w:bCs/>
          <w:sz w:val="20"/>
          <w:szCs w:val="20"/>
          <w:lang w:val="es-ES" w:eastAsia="es-ES"/>
        </w:rPr>
        <w:t>ARTÍCULO SEXTO</w:t>
      </w: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dispositivo del Decreto No. 2352, publicado en el Periódico Oficial “Tierra y Libertad” No. 6343, de fecha 2024/09/04. Vigencia 2024/09/05. Podrá consultar la publicación oficial en la siguiente liga:</w:t>
      </w:r>
      <w:r w:rsidRPr="00401A53">
        <w:rPr>
          <w:rFonts w:ascii="Arial" w:eastAsia="Times New Roman" w:hAnsi="Arial" w:cs="Arial"/>
          <w:bCs/>
          <w:iCs/>
          <w:sz w:val="20"/>
          <w:szCs w:val="20"/>
          <w:lang w:val="es-ES" w:eastAsia="es-ES"/>
        </w:rPr>
        <w:t xml:space="preserve"> </w:t>
      </w:r>
      <w:hyperlink r:id="rId8" w:history="1">
        <w:r w:rsidRPr="00835DB1">
          <w:rPr>
            <w:rStyle w:val="Hipervnculo"/>
            <w:rFonts w:ascii="Arial" w:eastAsia="Times New Roman" w:hAnsi="Arial" w:cs="Arial"/>
            <w:bCs/>
            <w:iCs/>
            <w:sz w:val="20"/>
            <w:szCs w:val="20"/>
            <w:lang w:eastAsia="es-ES"/>
          </w:rPr>
          <w:t>http://periodico.morelos.gob.mx/obtenerPDF/2024/6343_2A.pdf</w:t>
        </w:r>
      </w:hyperlink>
    </w:p>
    <w:p w14:paraId="5B50DDCE" w14:textId="77777777" w:rsidR="00E85802" w:rsidRPr="001452B4" w:rsidRDefault="00E85802" w:rsidP="00E85802">
      <w:pPr>
        <w:spacing w:after="0" w:line="240" w:lineRule="auto"/>
        <w:ind w:left="-992" w:right="-941"/>
        <w:jc w:val="both"/>
        <w:rPr>
          <w:rFonts w:ascii="Arial" w:hAnsi="Arial" w:cs="Arial"/>
          <w:sz w:val="20"/>
          <w:szCs w:val="20"/>
        </w:rPr>
      </w:pPr>
      <w:r>
        <w:rPr>
          <w:rFonts w:ascii="Arial" w:eastAsia="Times New Roman" w:hAnsi="Arial" w:cs="Arial"/>
          <w:bCs/>
          <w:iCs/>
          <w:sz w:val="20"/>
          <w:szCs w:val="20"/>
          <w:lang w:eastAsia="es-ES"/>
        </w:rPr>
        <w:t xml:space="preserve">- </w:t>
      </w:r>
      <w:r w:rsidRPr="00F61311">
        <w:rPr>
          <w:rFonts w:ascii="Arial" w:hAnsi="Arial" w:cs="Arial"/>
          <w:sz w:val="20"/>
          <w:szCs w:val="20"/>
        </w:rPr>
        <w:t>Se deroga la fracción VI del artículo 53</w:t>
      </w:r>
      <w:r>
        <w:rPr>
          <w:rFonts w:ascii="Arial" w:hAnsi="Arial" w:cs="Arial"/>
          <w:sz w:val="20"/>
          <w:szCs w:val="20"/>
        </w:rPr>
        <w:t xml:space="preserve"> del presente ordenamiento, por ARTÍCULO ÚNICO del Decreto No. 557, pu</w:t>
      </w:r>
      <w:r w:rsidRPr="0097695D">
        <w:rPr>
          <w:rFonts w:ascii="Arial" w:hAnsi="Arial" w:cs="Arial"/>
          <w:sz w:val="20"/>
          <w:szCs w:val="20"/>
        </w:rPr>
        <w:t>blicado en el Periódico Oficial “Tierra y Libertad”, número</w:t>
      </w:r>
      <w:r>
        <w:rPr>
          <w:rFonts w:ascii="Arial" w:hAnsi="Arial" w:cs="Arial"/>
          <w:sz w:val="20"/>
          <w:szCs w:val="20"/>
        </w:rPr>
        <w:t xml:space="preserve"> 6479, de fecha 2025/10/15. Vigencia: 2025/10/16.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9" w:history="1">
        <w:r w:rsidRPr="006D1798">
          <w:rPr>
            <w:rStyle w:val="Hipervnculo"/>
            <w:rFonts w:ascii="Arial" w:hAnsi="Arial" w:cs="Arial"/>
            <w:sz w:val="20"/>
            <w:szCs w:val="20"/>
          </w:rPr>
          <w:t>https://periodico.morelos.gob.mx/obtenerPDF/2025/6479.pdf</w:t>
        </w:r>
      </w:hyperlink>
    </w:p>
    <w:p w14:paraId="4859FCCE"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br w:type="page"/>
      </w:r>
      <w:r w:rsidRPr="002E074E">
        <w:rPr>
          <w:rFonts w:ascii="Arial" w:eastAsia="Times New Roman" w:hAnsi="Arial" w:cs="Arial"/>
          <w:bCs/>
          <w:sz w:val="24"/>
          <w:szCs w:val="24"/>
          <w:lang w:val="es-ES" w:eastAsia="es-ES"/>
        </w:rPr>
        <w:lastRenderedPageBreak/>
        <w:t>GRACO LUIS RAMÍREZ GARRIDO ABREU, GOBERNADOR CONSTITUCIONAL DEL ESTADO LIBRE Y SOBERANO DE MORELOS A SUS HABITANTES SABED:</w:t>
      </w:r>
    </w:p>
    <w:p w14:paraId="3F4443ED" w14:textId="77777777" w:rsidR="00E85802" w:rsidRDefault="00E85802" w:rsidP="00E85802">
      <w:pPr>
        <w:spacing w:after="0" w:line="240" w:lineRule="auto"/>
        <w:jc w:val="both"/>
        <w:rPr>
          <w:rFonts w:ascii="Arial" w:eastAsia="Times New Roman" w:hAnsi="Arial" w:cs="Arial"/>
          <w:bCs/>
          <w:sz w:val="24"/>
          <w:szCs w:val="24"/>
          <w:lang w:val="es-ES" w:eastAsia="es-MX"/>
        </w:rPr>
      </w:pPr>
    </w:p>
    <w:p w14:paraId="38EEB3D0" w14:textId="77777777" w:rsidR="00E85802" w:rsidRDefault="00E85802" w:rsidP="00E85802">
      <w:pPr>
        <w:spacing w:after="0" w:line="240" w:lineRule="auto"/>
        <w:jc w:val="both"/>
        <w:rPr>
          <w:rFonts w:ascii="Arial" w:eastAsia="Times New Roman" w:hAnsi="Arial" w:cs="Arial"/>
          <w:bCs/>
          <w:sz w:val="24"/>
          <w:szCs w:val="24"/>
          <w:lang w:val="es-ES" w:eastAsia="es-MX"/>
        </w:rPr>
      </w:pPr>
      <w:r w:rsidRPr="002E074E">
        <w:rPr>
          <w:rFonts w:ascii="Arial" w:eastAsia="Times New Roman" w:hAnsi="Arial" w:cs="Arial"/>
          <w:bCs/>
          <w:sz w:val="24"/>
          <w:szCs w:val="24"/>
          <w:lang w:val="es-ES" w:eastAsia="es-MX"/>
        </w:rPr>
        <w:t>Que el H. Congreso del Estado se ha servido enviarme para su promulgación lo siguiente:</w:t>
      </w:r>
    </w:p>
    <w:p w14:paraId="38750ECD" w14:textId="77777777" w:rsidR="00E85802" w:rsidRPr="002E074E" w:rsidRDefault="00E85802" w:rsidP="00E85802">
      <w:pPr>
        <w:spacing w:after="0" w:line="240" w:lineRule="auto"/>
        <w:jc w:val="both"/>
        <w:rPr>
          <w:rFonts w:ascii="Arial" w:eastAsia="Times New Roman" w:hAnsi="Arial" w:cs="Arial"/>
          <w:bCs/>
          <w:sz w:val="24"/>
          <w:szCs w:val="24"/>
          <w:lang w:val="es-ES" w:eastAsia="es-MX"/>
        </w:rPr>
      </w:pPr>
    </w:p>
    <w:p w14:paraId="7DC598F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w w:val="90"/>
          <w:sz w:val="24"/>
          <w:szCs w:val="24"/>
          <w:lang w:val="es-ES" w:eastAsia="es-ES"/>
        </w:rPr>
        <w:t xml:space="preserve">LA QUINCUAGÉSIMA TERCERA </w:t>
      </w:r>
      <w:r w:rsidRPr="002E074E">
        <w:rPr>
          <w:rFonts w:ascii="Arial" w:eastAsia="Times New Roman" w:hAnsi="Arial" w:cs="Arial"/>
          <w:bCs/>
          <w:sz w:val="24"/>
          <w:szCs w:val="24"/>
          <w:lang w:val="es-ES" w:eastAsia="es-ES"/>
        </w:rPr>
        <w:t>LEGISLATURA DEL CONGRESO DEL ESTADO LIBRE Y SOBERANO DE MORELOS, EN EJERCICIO DE LA FACULTAD QUE LE OTORGA LA FRACCIÓN II, DEL ARTÍCULO 40, DE LA CONSTITUCIÓN POLÍTICA DEL ESTADO LIBRE Y SOBERANO DE MORELOS, Y AL TENOR DE LOS SIGUIENTES:</w:t>
      </w:r>
    </w:p>
    <w:p w14:paraId="2089914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5895F82D" w14:textId="77777777" w:rsidR="00E85802" w:rsidRPr="002E074E" w:rsidRDefault="00E85802" w:rsidP="00E85802">
      <w:pPr>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ANTECEDENTES</w:t>
      </w:r>
    </w:p>
    <w:p w14:paraId="0C5EAB78" w14:textId="77777777" w:rsidR="00E85802" w:rsidRDefault="00E85802" w:rsidP="00E85802">
      <w:pPr>
        <w:spacing w:after="0" w:line="240" w:lineRule="auto"/>
        <w:rPr>
          <w:rFonts w:ascii="Arial" w:eastAsia="Times New Roman" w:hAnsi="Arial" w:cs="Arial"/>
          <w:bCs/>
          <w:sz w:val="24"/>
          <w:szCs w:val="24"/>
          <w:lang w:val="es-ES" w:eastAsia="es-ES"/>
        </w:rPr>
      </w:pPr>
    </w:p>
    <w:p w14:paraId="26E4DB42" w14:textId="77777777" w:rsidR="00E85802" w:rsidRDefault="00E85802" w:rsidP="00E8580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 DEL PROCESO LEGISLATIVO</w:t>
      </w:r>
    </w:p>
    <w:p w14:paraId="34BC4373" w14:textId="77777777" w:rsidR="00E85802" w:rsidRPr="002E074E" w:rsidRDefault="00E85802" w:rsidP="00E85802">
      <w:pPr>
        <w:spacing w:after="0" w:line="240" w:lineRule="auto"/>
        <w:rPr>
          <w:rFonts w:ascii="Arial" w:eastAsia="Times New Roman" w:hAnsi="Arial" w:cs="Arial"/>
          <w:bCs/>
          <w:sz w:val="24"/>
          <w:szCs w:val="24"/>
          <w:lang w:val="es-ES" w:eastAsia="es-ES"/>
        </w:rPr>
      </w:pPr>
    </w:p>
    <w:p w14:paraId="35746FC4" w14:textId="77777777" w:rsidR="00E85802" w:rsidRDefault="00E85802" w:rsidP="00F421EF">
      <w:pPr>
        <w:numPr>
          <w:ilvl w:val="0"/>
          <w:numId w:val="12"/>
        </w:numPr>
        <w:tabs>
          <w:tab w:val="left" w:pos="426"/>
          <w:tab w:val="left" w:pos="993"/>
        </w:tabs>
        <w:spacing w:after="0" w:line="240" w:lineRule="auto"/>
        <w:ind w:left="0" w:firstLine="0"/>
        <w:contextualSpacing/>
        <w:jc w:val="both"/>
        <w:rPr>
          <w:rFonts w:ascii="Arial" w:hAnsi="Arial" w:cs="Arial"/>
          <w:sz w:val="24"/>
          <w:szCs w:val="24"/>
        </w:rPr>
      </w:pPr>
      <w:r w:rsidRPr="002E074E">
        <w:rPr>
          <w:rFonts w:ascii="Arial" w:hAnsi="Arial" w:cs="Arial"/>
          <w:sz w:val="24"/>
          <w:szCs w:val="24"/>
        </w:rPr>
        <w:t>Mediante la Sesión Ordinaria de la Asamblea de la LIII Legislatura, que tuvo verificativo el día 09 de diciembre de 2015, el Diputado Enrique Javier Laffitte Bretón, integrante del Grupo Parlamentario del Partido de la Revolución Democrática, presentó Iniciativa con proyecto de decreto por el que se crea la Ley de Transparencia y Acceso a la Información Pública del Estado de Morelos, que abroga la diversa publicada en el Periódico Oficial “Tierra y Libertad” número 4274 de fecha 27 de agosto del año 2003.</w:t>
      </w:r>
    </w:p>
    <w:p w14:paraId="4EF075A3" w14:textId="77777777" w:rsidR="00E85802" w:rsidRPr="002E074E" w:rsidRDefault="00E85802" w:rsidP="00E85802">
      <w:pPr>
        <w:tabs>
          <w:tab w:val="left" w:pos="426"/>
          <w:tab w:val="left" w:pos="993"/>
        </w:tabs>
        <w:spacing w:after="0" w:line="240" w:lineRule="auto"/>
        <w:contextualSpacing/>
        <w:jc w:val="both"/>
        <w:rPr>
          <w:rFonts w:ascii="Arial" w:hAnsi="Arial" w:cs="Arial"/>
          <w:sz w:val="24"/>
          <w:szCs w:val="24"/>
        </w:rPr>
      </w:pPr>
    </w:p>
    <w:p w14:paraId="79DDDA55" w14:textId="77777777" w:rsidR="00E85802" w:rsidRPr="002E074E" w:rsidRDefault="00E85802" w:rsidP="00F421EF">
      <w:pPr>
        <w:numPr>
          <w:ilvl w:val="0"/>
          <w:numId w:val="12"/>
        </w:numPr>
        <w:tabs>
          <w:tab w:val="left" w:pos="426"/>
          <w:tab w:val="left" w:pos="993"/>
        </w:tabs>
        <w:spacing w:after="0" w:line="240" w:lineRule="auto"/>
        <w:ind w:left="0" w:firstLine="0"/>
        <w:contextualSpacing/>
        <w:jc w:val="both"/>
        <w:rPr>
          <w:rFonts w:ascii="Arial" w:hAnsi="Arial" w:cs="Arial"/>
          <w:sz w:val="24"/>
          <w:szCs w:val="24"/>
        </w:rPr>
      </w:pPr>
      <w:r w:rsidRPr="002E074E">
        <w:rPr>
          <w:rFonts w:ascii="Arial" w:hAnsi="Arial" w:cs="Arial"/>
          <w:sz w:val="24"/>
          <w:szCs w:val="24"/>
        </w:rPr>
        <w:t xml:space="preserve">En consecuencia, el Diputado Francisco Alejandro Moreno Merino, </w:t>
      </w:r>
      <w:proofErr w:type="gramStart"/>
      <w:r w:rsidRPr="002E074E">
        <w:rPr>
          <w:rFonts w:ascii="Arial" w:hAnsi="Arial" w:cs="Arial"/>
          <w:sz w:val="24"/>
          <w:szCs w:val="24"/>
        </w:rPr>
        <w:t>Presidente</w:t>
      </w:r>
      <w:proofErr w:type="gramEnd"/>
      <w:r w:rsidRPr="002E074E">
        <w:rPr>
          <w:rFonts w:ascii="Arial" w:hAnsi="Arial" w:cs="Arial"/>
          <w:sz w:val="24"/>
          <w:szCs w:val="24"/>
        </w:rPr>
        <w:t xml:space="preserve"> de la Mesa Directiva del Congreso del Estado de Morelos, dio cuenta de la iniciativa citada al epígrafe, instruyendo se </w:t>
      </w:r>
      <w:proofErr w:type="gramStart"/>
      <w:r w:rsidRPr="002E074E">
        <w:rPr>
          <w:rFonts w:ascii="Arial" w:hAnsi="Arial" w:cs="Arial"/>
          <w:sz w:val="24"/>
          <w:szCs w:val="24"/>
        </w:rPr>
        <w:t>turnara</w:t>
      </w:r>
      <w:proofErr w:type="gramEnd"/>
      <w:r w:rsidRPr="002E074E">
        <w:rPr>
          <w:rFonts w:ascii="Arial" w:hAnsi="Arial" w:cs="Arial"/>
          <w:sz w:val="24"/>
          <w:szCs w:val="24"/>
        </w:rPr>
        <w:t xml:space="preserve"> a la Comisión de Puntos Constitucionales y Legislación, mediante oficio número </w:t>
      </w:r>
      <w:proofErr w:type="spellStart"/>
      <w:r w:rsidRPr="002E074E">
        <w:rPr>
          <w:rFonts w:ascii="Arial" w:hAnsi="Arial" w:cs="Arial"/>
          <w:sz w:val="24"/>
          <w:szCs w:val="24"/>
        </w:rPr>
        <w:t>SSLyP</w:t>
      </w:r>
      <w:proofErr w:type="spellEnd"/>
      <w:r w:rsidRPr="002E074E">
        <w:rPr>
          <w:rFonts w:ascii="Arial" w:hAnsi="Arial" w:cs="Arial"/>
          <w:sz w:val="24"/>
          <w:szCs w:val="24"/>
        </w:rPr>
        <w:t>/</w:t>
      </w:r>
      <w:proofErr w:type="spellStart"/>
      <w:r w:rsidRPr="002E074E">
        <w:rPr>
          <w:rFonts w:ascii="Arial" w:hAnsi="Arial" w:cs="Arial"/>
          <w:sz w:val="24"/>
          <w:szCs w:val="24"/>
        </w:rPr>
        <w:t>DPLyP</w:t>
      </w:r>
      <w:proofErr w:type="spellEnd"/>
      <w:r w:rsidRPr="002E074E">
        <w:rPr>
          <w:rFonts w:ascii="Arial" w:hAnsi="Arial" w:cs="Arial"/>
          <w:sz w:val="24"/>
          <w:szCs w:val="24"/>
        </w:rPr>
        <w:t>/AÑO1/P.0.1/226/15, para su análisis y dictamen correspondiente.</w:t>
      </w:r>
    </w:p>
    <w:p w14:paraId="4F0DF334" w14:textId="77777777" w:rsidR="00E85802" w:rsidRDefault="00E85802" w:rsidP="00E85802">
      <w:pPr>
        <w:spacing w:after="0" w:line="240" w:lineRule="auto"/>
        <w:rPr>
          <w:rFonts w:ascii="Arial" w:eastAsia="Times New Roman" w:hAnsi="Arial" w:cs="Arial"/>
          <w:bCs/>
          <w:sz w:val="24"/>
          <w:szCs w:val="24"/>
          <w:lang w:val="es-ES" w:eastAsia="es-ES"/>
        </w:rPr>
      </w:pPr>
    </w:p>
    <w:p w14:paraId="6537E356" w14:textId="77777777" w:rsidR="00E85802" w:rsidRPr="002E074E" w:rsidRDefault="00E85802" w:rsidP="00E8580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II.- MATERIA DE LA INICIATIVA.</w:t>
      </w:r>
    </w:p>
    <w:p w14:paraId="2C19451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07C5DF1"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 manera de síntesis, el Diputado Enrique Javier Laffitte Bretón, propone la creación de una nueva Ley de Transparencia y Acceso a la Información Pública del Estado de Morelos, que aglutine las reformas que se dieron en la materia a nivel federal y las que se refieren al Sistema Estatal Anticorrupción, así como también que abroga </w:t>
      </w:r>
      <w:r w:rsidRPr="002E074E">
        <w:rPr>
          <w:rFonts w:ascii="Arial" w:eastAsia="Times New Roman" w:hAnsi="Arial" w:cs="Arial"/>
          <w:bCs/>
          <w:sz w:val="24"/>
          <w:szCs w:val="24"/>
          <w:lang w:val="es-ES" w:eastAsia="es-ES"/>
        </w:rPr>
        <w:lastRenderedPageBreak/>
        <w:t xml:space="preserve">la diversa publicada en el Periódico Oficial “Tierra y Libertad” número 4274, de fecha 27 de agosto de 2003. </w:t>
      </w:r>
    </w:p>
    <w:p w14:paraId="1E2CD78C" w14:textId="77777777" w:rsidR="00E85802" w:rsidRDefault="00E85802" w:rsidP="00E85802">
      <w:pPr>
        <w:spacing w:after="0" w:line="240" w:lineRule="auto"/>
        <w:rPr>
          <w:rFonts w:ascii="Arial" w:eastAsia="Times New Roman" w:hAnsi="Arial" w:cs="Arial"/>
          <w:bCs/>
          <w:sz w:val="24"/>
          <w:szCs w:val="24"/>
          <w:lang w:val="es-ES" w:eastAsia="es-ES"/>
        </w:rPr>
      </w:pPr>
    </w:p>
    <w:p w14:paraId="3955C60A" w14:textId="77777777" w:rsidR="00E85802" w:rsidRPr="002E074E" w:rsidRDefault="00E85802" w:rsidP="00E8580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III.- CONTENIDO DE LA INICIATIVA.</w:t>
      </w:r>
    </w:p>
    <w:p w14:paraId="2A9B3F9B"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0E3EC36"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iniciador justifica su propuesta de este nuevo ordenamiento, en razón de lo siguiente:</w:t>
      </w:r>
    </w:p>
    <w:p w14:paraId="62E9915B"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357A43A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pasado mes de octubre, presenté un punto de acuerdo exhortando al Instituto Morelense de Información Pública, Estadística y Protección de Datos Personales, para que en el ejercicio de sus facultades y atribuciones, exigiera a los sujetos obligados, que las nóminas fueran publicadas especificando el nombre del funcionario y el salario y prestaciones que reciben, sin embargo, por la forma en la que se encuentra redactada la actual Ley estatal de la materia, resulta en una imposibilidad jurídica exigirles dicha obligación, situación que se corrige con la presente iniciativa, en la cual se especifica claramente.”</w:t>
      </w:r>
    </w:p>
    <w:p w14:paraId="2E8301BD"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72E68AD8"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“Una más de las aportaciones de la presente iniciativa, se refiere a la obligación del Instituto Morelense de Información Pública, Estadística y Protección de Datos Personales, de verificar con la Entidad Superior de Auditoría y Fiscalización, que los datos que se encuentran publicados por los sujetos obligados, que tiene que ver con sueldos, prestaciones, viáticos, y en general gastos de representación, son en realidad lo que están gastando, situación que hasta la fecha se ha omitido por parte del organismo garante, conformándose sólo con que se encuentre publicado.”</w:t>
      </w:r>
    </w:p>
    <w:p w14:paraId="116982D9"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17CD7469"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“El 7 de febrero del año 2014 en el Diario Oficial de la Federación se publicó la tercera generación de reformas en materia de Transparencia e Información Pública, su finalidad es robustecer lo ya establecido en la reforma constitucional del año 2007. En ese sentido, se crean dos apartados, el apartado A para la transparencia, protección de datos personales, acceso a la Información y el procedimiento de designación, conformación del órgano garante de la transparencia federal; y el apartado B, relativo a las telecomunicaciones y el proceso de designación del </w:t>
      </w:r>
      <w:proofErr w:type="gramStart"/>
      <w:r w:rsidRPr="002E074E">
        <w:rPr>
          <w:rFonts w:ascii="Arial" w:eastAsia="Times New Roman" w:hAnsi="Arial" w:cs="Arial"/>
          <w:bCs/>
          <w:sz w:val="24"/>
          <w:szCs w:val="24"/>
          <w:lang w:val="es-ES" w:eastAsia="es-ES"/>
        </w:rPr>
        <w:t>Consejero Presidente</w:t>
      </w:r>
      <w:proofErr w:type="gramEnd"/>
      <w:r w:rsidRPr="002E074E">
        <w:rPr>
          <w:rFonts w:ascii="Arial" w:eastAsia="Times New Roman" w:hAnsi="Arial" w:cs="Arial"/>
          <w:bCs/>
          <w:sz w:val="24"/>
          <w:szCs w:val="24"/>
          <w:lang w:val="es-ES" w:eastAsia="es-ES"/>
        </w:rPr>
        <w:t>.”</w:t>
      </w:r>
    </w:p>
    <w:p w14:paraId="3FF78EC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172C34D8"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“El artículo 6º de la Constitución Federal en su apartado A, estableció las bases generales tutelando los derechos humanos, siendo de observancia general para los </w:t>
      </w:r>
      <w:r w:rsidRPr="002E074E">
        <w:rPr>
          <w:rFonts w:ascii="Arial" w:eastAsia="Times New Roman" w:hAnsi="Arial" w:cs="Arial"/>
          <w:bCs/>
          <w:sz w:val="24"/>
          <w:szCs w:val="24"/>
          <w:lang w:val="es-ES" w:eastAsia="es-ES"/>
        </w:rPr>
        <w:lastRenderedPageBreak/>
        <w:t xml:space="preserve">órganos garantes tanto federal como de los estados. No pasa desapercibido la creación de un nuevo Órgano Garante de la Transparencia a nivel Federal, como un Organismo Constitucional Autónomo, autonomía </w:t>
      </w:r>
      <w:proofErr w:type="gramStart"/>
      <w:r w:rsidRPr="002E074E">
        <w:rPr>
          <w:rFonts w:ascii="Arial" w:eastAsia="Times New Roman" w:hAnsi="Arial" w:cs="Arial"/>
          <w:bCs/>
          <w:sz w:val="24"/>
          <w:szCs w:val="24"/>
          <w:lang w:val="es-ES" w:eastAsia="es-ES"/>
        </w:rPr>
        <w:t>que</w:t>
      </w:r>
      <w:proofErr w:type="gramEnd"/>
      <w:r w:rsidRPr="002E074E">
        <w:rPr>
          <w:rFonts w:ascii="Arial" w:eastAsia="Times New Roman" w:hAnsi="Arial" w:cs="Arial"/>
          <w:bCs/>
          <w:sz w:val="24"/>
          <w:szCs w:val="24"/>
          <w:lang w:val="es-ES" w:eastAsia="es-ES"/>
        </w:rPr>
        <w:t xml:space="preserve"> en Morelos, existe desde su origen.” </w:t>
      </w:r>
    </w:p>
    <w:p w14:paraId="15F3F4D3"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B03F887"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“Con la entrada en vigor de la reforma aludida y como lo establece en su transitorio quinto las </w:t>
      </w:r>
      <w:r w:rsidRPr="002E074E">
        <w:rPr>
          <w:rFonts w:ascii="Arial" w:eastAsia="Times New Roman" w:hAnsi="Arial" w:cs="Arial"/>
          <w:bCs/>
          <w:sz w:val="24"/>
          <w:szCs w:val="24"/>
          <w:lang w:val="es-ES_tradnl" w:eastAsia="es-ES"/>
        </w:rPr>
        <w:t xml:space="preserve">Legislaturas de los Estados </w:t>
      </w:r>
      <w:r w:rsidRPr="002E074E">
        <w:rPr>
          <w:rFonts w:ascii="Arial" w:eastAsia="Times New Roman" w:hAnsi="Arial" w:cs="Arial"/>
          <w:bCs/>
          <w:sz w:val="24"/>
          <w:szCs w:val="24"/>
          <w:lang w:val="es-ES" w:eastAsia="es-ES"/>
        </w:rPr>
        <w:t>cuentan con un año a partir de la entrada en vigor de dicho Decreto</w:t>
      </w:r>
      <w:r w:rsidRPr="002E074E">
        <w:rPr>
          <w:rFonts w:ascii="Arial" w:eastAsia="Times New Roman" w:hAnsi="Arial" w:cs="Arial"/>
          <w:bCs/>
          <w:sz w:val="24"/>
          <w:szCs w:val="24"/>
          <w:lang w:val="es-ES_tradnl" w:eastAsia="es-ES"/>
        </w:rPr>
        <w:t>, para armonizar la normatividad aplicable.”</w:t>
      </w:r>
    </w:p>
    <w:p w14:paraId="72621D85"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39136649"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ese sentido, resultaba necesario armonizar la constitución estadual de Morelos al marco Constitucional Federal, estableciendo los principios fundamentales que deberán regir en materia de Derecho de Acceso a la Información.”</w:t>
      </w:r>
    </w:p>
    <w:p w14:paraId="3847D8CF"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3755525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“Dentro de las reformas Constitucionales, el Instituto Nacional de Transparencia, Acceso a la Información y Protección de Datos (INAI), fungirá como órgano revisor de las resoluciones que pronuncien los órganos garantes locales, cuando confirme la reserva, confidencialidad, inexistencia o negativa de la información; de igual forma, atraerá de oficio o a petición del órgano garante de la transparencia local, los asuntos que por su transcendencia así lo ameriten.”</w:t>
      </w:r>
    </w:p>
    <w:p w14:paraId="5F43D473"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83A369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“Ahora bien, la Reforma Constitucional en materia de Transparencia promulgada el 7 de febrero de 2014, así como la aprobada Ley General de Transparencia y Acceso a la Información Pública de manera enunciativa más no limitativa establecen los parámetros mínimos con los que deberán contar los órganos garantes de acceso a la información, entre otros, la conformación de dichos entes. En ese sentido, los instrumentos normativos aludidos estipulan el periodo que los comisionados durarán en su encargo, siendo este de 7 años sin posibilidad de reelección, y que deberán dedicarse de manera exclusiva a sus funciones, salvo el desempeño de actividades docentes, científicas o de beneficencia, ello con la finalidad de salvaguardar la independencia y autonomía de los integrantes del órgano garante.” </w:t>
      </w:r>
    </w:p>
    <w:p w14:paraId="7C4E0205"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57B0639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“Además de lo anterior, los comisionados deben cumplir con ciertos requisitos previstos desde la propia Constitución Federal, para el caso del organismo nacional, con la intención de designar comisionados con un conocimiento especializado y comprometido con los valores propios de la transparencia, la publicidad de la información gubernamental, la protección de la vida privada y, de manera amplia, la </w:t>
      </w:r>
      <w:r w:rsidRPr="002E074E">
        <w:rPr>
          <w:rFonts w:ascii="Arial" w:eastAsia="Times New Roman" w:hAnsi="Arial" w:cs="Arial"/>
          <w:bCs/>
          <w:sz w:val="24"/>
          <w:szCs w:val="24"/>
          <w:lang w:val="es-ES" w:eastAsia="es-ES"/>
        </w:rPr>
        <w:lastRenderedPageBreak/>
        <w:t>rendición de cuentas. Por lo anterior, resulta evidente que desde nuestra Constitución Estatal se anuncie el proceso de selección de los comisionados del órgano garante de transparencia, como del periodo que durarán en su encargo.”</w:t>
      </w:r>
    </w:p>
    <w:p w14:paraId="24EA6A29"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FF75E7E"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último, dentro de la reforma en la constitución federal en su fracción I apartado A del artículo 6to, establece entre otras entidades como sujetos obligados a los órganos autónomos, partidos políticos, fideicomisos y fondos públicos, así como de cualquier persona física, moral o sindicato que reciba y ejerza recursos públicos o realice actos de autoridad en el ámbito federal, estatal y municipal, si bien en nuestra ley secundaria estatal ya se encuentras previsto, no desde el ámbito constitucional local, por ello se propone adicionar dichos sujetos obligados desde la constitución para homologar lo acontecido en la Constitución Federal.”</w:t>
      </w:r>
    </w:p>
    <w:p w14:paraId="5FF0D912"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35C4647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“Ahora bien, cabe destacar que el pasado veintisiete de mayo de 2015, se promulgó por el Presidente de la República, licenciado Enrique Peña Nieto, el </w:t>
      </w:r>
      <w:hyperlink r:id="rId10" w:history="1">
        <w:r w:rsidRPr="002E074E">
          <w:rPr>
            <w:rFonts w:ascii="Arial" w:eastAsia="Times New Roman" w:hAnsi="Arial" w:cs="Arial"/>
            <w:bCs/>
            <w:sz w:val="24"/>
            <w:szCs w:val="24"/>
            <w:lang w:val="es-ES" w:eastAsia="es-ES"/>
          </w:rPr>
          <w:t>Decreto por el que se reforman, adicionan y derogan diversas disposiciones de la Constitución Política de los Estados Unidos Mexicanos, en materia de combate a la corrupción</w:t>
        </w:r>
      </w:hyperlink>
      <w:r w:rsidRPr="002E074E">
        <w:rPr>
          <w:rFonts w:ascii="Arial" w:eastAsia="Times New Roman" w:hAnsi="Arial" w:cs="Arial"/>
          <w:bCs/>
          <w:sz w:val="24"/>
          <w:szCs w:val="24"/>
          <w:lang w:val="es-ES" w:eastAsia="es-ES"/>
        </w:rPr>
        <w:t>, mismo que fuera publicada en el Diario Oficial de la Federación en esa misma fecha, y que tiene como objetivo central combatir la impunidad en el servicio público, mediante la creación del Sistema Nacional Anticorrupción, como una instancia de coordinación entre las autoridades de todos los órdenes de gobierno competentes en la prevención, detección y sanción de responsabilidades administrativas y hechos de corrupción, así como en la fiscalización y control de recursos públicos; estableciendo como requisito indispensable para su funcionamiento la participación ciudadana.”</w:t>
      </w:r>
    </w:p>
    <w:p w14:paraId="4A4E729C"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3E8F948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“Debe señalarse que dicha iniciativa fue calificada por el mandatario como un cambio estructural para combatir con mayor eficacia el cohecho, la extorsión o el tráfico de influencias en el servicio público.”</w:t>
      </w:r>
    </w:p>
    <w:p w14:paraId="408050CE" w14:textId="77777777" w:rsidR="00472AE8" w:rsidRPr="002E074E" w:rsidRDefault="00472AE8" w:rsidP="00E85802">
      <w:pPr>
        <w:spacing w:after="0" w:line="240" w:lineRule="auto"/>
        <w:jc w:val="both"/>
        <w:rPr>
          <w:rFonts w:ascii="Arial" w:eastAsia="Times New Roman" w:hAnsi="Arial" w:cs="Arial"/>
          <w:bCs/>
          <w:sz w:val="24"/>
          <w:szCs w:val="24"/>
          <w:lang w:val="es-ES" w:eastAsia="es-ES"/>
        </w:rPr>
      </w:pPr>
    </w:p>
    <w:p w14:paraId="2542C2CF"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“Así pues, mediante la citada reforma, se crea el Sistema Nacional Anticorrupción, del que se estima importante destacar uno de los puntos fundamentales, a saber:</w:t>
      </w:r>
    </w:p>
    <w:p w14:paraId="0D38540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Se crea un Comité Coordinador con los sistemas estatales de combate a la corrupción, que agrupará a distintas instancias, como la Secretaría de la Función Pública, el Consejo de la Judicatura Federal, el Instituto Nacional de Transparencia y el Comité de Participación Ciudadana, fiscalización; integración que obedece a la </w:t>
      </w:r>
      <w:r w:rsidRPr="002E074E">
        <w:rPr>
          <w:rFonts w:ascii="Arial" w:eastAsia="Times New Roman" w:hAnsi="Arial" w:cs="Arial"/>
          <w:bCs/>
          <w:sz w:val="24"/>
          <w:szCs w:val="24"/>
          <w:lang w:val="es-ES" w:eastAsia="es-ES"/>
        </w:rPr>
        <w:lastRenderedPageBreak/>
        <w:t>investigación, control, vigilancia, sanción, transparencia, rendición de cuentas y participación ciudadana.”</w:t>
      </w:r>
    </w:p>
    <w:p w14:paraId="44FC0EF8"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14D7210E"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lo anterior, puede establecerse con toda precisión que, por primera vez en México, contaremos con un sistema integral y transversal, alejado de intereses personales, pues sus finalidades son muy claras: generar mejores estándares en el servicio público y combatir de manera definitiva los actos de corrupción, confirmando el compromiso del Estado mexicano para contar con gobiernos abiertos.”</w:t>
      </w:r>
    </w:p>
    <w:p w14:paraId="1C1BCB36"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714FA82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“Resulta evidente el alcance nacional del Sistema Nacional Anticorrupción, pues tal y como lo establece el artículo 113 de la Constitución Federal, en su último párrafo, dispone que las entidades federativas deberán establecer sistemas locales anticorrupción, los que servirán como mecanismos de coordinación para el diseño, evaluación de políticas de educación, concientización, prevención, detección y sanción de responsabilidades administrativas y hechos de corrupción, así como la promoción de la integridad pública.”</w:t>
      </w:r>
    </w:p>
    <w:p w14:paraId="17F23889"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26F8FF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“Cumpliendo con dicha obligación, en Sesión ordinaria de este Congreso, celebrada el día primero de julio de dos mil quince, se sometió a discusión el dictamen emanado de la Comisión de Puntos Constitucionales y Legislación, respecto de las reformas, adiciones y derogaciones de diversas disposiciones de la Constitución Política del Estado Libre y Soberano de Morelos, a fin de armonizar su texto conforme las modificaciones hechas a la Constitución Política de los Estados Unidos Mexicanos, en materia de Transparencia y Combate a la Corrupción.”</w:t>
      </w:r>
    </w:p>
    <w:p w14:paraId="4CF22F4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020B792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marco del estudio y análisis de la Iniciativa con proyecto de decreto que reforman, adicionan y derogan diversas disposiciones en materia de combate a la corrupción y transparencia, los Legisladores integrantes de la Comisión de Puntos Constitucionales y Legislación, tuvieron a bien aprobar dicha iniciativa, expidiendo el proyecto de dictamen, esto por considerarlo procedente y apegado a estricto derecho, toda vez que la iniciativa atendía a una armonización de diversas disposiciones de la Carta Magna en las citadas Materias de Transparencia y Anticorrupción.”</w:t>
      </w:r>
    </w:p>
    <w:p w14:paraId="0D338AEA"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0D64D9E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“Lo anterior fue así, en virtud de los razonamientos jurídicos que esgrimió en su momento la Comisión Dictaminadora los cuales se centran en los siguientes argumentos:</w:t>
      </w:r>
    </w:p>
    <w:p w14:paraId="7108217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5FF7AEE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“La reforma que nos ocupa, resulta procedente en primera instancia, por tratarse de una armonización a las disposiciones normativas de nuestra Constitución Estadual con las aprobadas en la Carta Magna y que privilegian y tutelan en todo momento el derecho al ejercicio del acceso de la información pública, por lo </w:t>
      </w:r>
      <w:proofErr w:type="gramStart"/>
      <w:r w:rsidRPr="002E074E">
        <w:rPr>
          <w:rFonts w:ascii="Arial" w:eastAsia="Times New Roman" w:hAnsi="Arial" w:cs="Arial"/>
          <w:bCs/>
          <w:sz w:val="24"/>
          <w:szCs w:val="24"/>
          <w:lang w:val="es-ES" w:eastAsia="es-ES"/>
        </w:rPr>
        <w:t>tanto</w:t>
      </w:r>
      <w:proofErr w:type="gramEnd"/>
      <w:r w:rsidRPr="002E074E">
        <w:rPr>
          <w:rFonts w:ascii="Arial" w:eastAsia="Times New Roman" w:hAnsi="Arial" w:cs="Arial"/>
          <w:bCs/>
          <w:sz w:val="24"/>
          <w:szCs w:val="24"/>
          <w:lang w:val="es-ES" w:eastAsia="es-ES"/>
        </w:rPr>
        <w:t xml:space="preserve"> dicha reforma es estimada por los que integramos esta comisión legislativa como Constitucional y legal”. </w:t>
      </w:r>
    </w:p>
    <w:p w14:paraId="3BFE854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2E4AC935" w14:textId="77777777" w:rsidR="00E85802" w:rsidRDefault="00E85802" w:rsidP="00E85802">
      <w:pPr>
        <w:shd w:val="clear" w:color="auto" w:fill="FFFFFF"/>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“Es preciso manifestar, que dicha reforma constitucional, da pie a la creación de un Sistema Nacional Anticorrupción, el cual se funda bajo el cinco premisas fundamentales, la primera de ellas consiste en crear un Comité Coordinador con los sistemas estatales de combate a la corrupción, que agrupará a distintas instancias, como la Secretaría de la Función Pública, el Consejo de la Judicatura Federal, el Instituto Nacional de Transparencia y el Comité de Participación Ciudadana, premisas todas que hacen estimarla procedente por considerarse constitucional y legal la presente reforma. Mismo sistema que de manera local, deberá de ser creado y homologado al federal para su debido funcionamiento, debiéndose de encontrar en plena coordinación con el de la Federación”.</w:t>
      </w:r>
    </w:p>
    <w:p w14:paraId="0615D1BF" w14:textId="77777777" w:rsidR="00E85802" w:rsidRPr="002E074E" w:rsidRDefault="00E85802" w:rsidP="00E85802">
      <w:pPr>
        <w:shd w:val="clear" w:color="auto" w:fill="FFFFFF"/>
        <w:spacing w:after="0" w:line="240" w:lineRule="auto"/>
        <w:jc w:val="both"/>
        <w:rPr>
          <w:rFonts w:ascii="Arial" w:eastAsia="Times New Roman" w:hAnsi="Arial" w:cs="Arial"/>
          <w:bCs/>
          <w:sz w:val="24"/>
          <w:szCs w:val="24"/>
          <w:lang w:val="es-ES" w:eastAsia="es-ES"/>
        </w:rPr>
      </w:pPr>
    </w:p>
    <w:p w14:paraId="0E1C378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lo anterior se puede concluir, que la parte toral que centra el objeto de la reforma, lo constituye la creación de un Sistema Estatal Anticorrupción, como una instancia coordinadora entre las autoridades competentes en la prevención, detección, investigación y sanción de responsabilidades administrativas y hechos de corrupción.” </w:t>
      </w:r>
    </w:p>
    <w:p w14:paraId="6B8BC14F"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B83F087"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“Cabe destacar que este Sistema Estatal Anticorrupción, fungirá como una instancia de coordinación con el Sistema Nacional, con la finalidad de adoptar en nuestra Entidad Federativa las adecuaciones al mismo, y con ellos contar con mecanismos realmente eficientes y actuales para el combate a la corrupción.” </w:t>
      </w:r>
    </w:p>
    <w:p w14:paraId="3FAF5C8F"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457EBAFB"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“Una vez aprobado el proyecto de dictamen por los integrantes de la Comisión dictaminadora, dicho proyecto fue sometido con fundamento en los dispuesto por el artículo 61 del Reglamento para el Congreso del Estado de Morelos a consideración </w:t>
      </w:r>
      <w:r w:rsidRPr="002E074E">
        <w:rPr>
          <w:rFonts w:ascii="Arial" w:eastAsia="Times New Roman" w:hAnsi="Arial" w:cs="Arial"/>
          <w:bCs/>
          <w:sz w:val="24"/>
          <w:szCs w:val="24"/>
          <w:lang w:val="es-ES" w:eastAsia="es-ES"/>
        </w:rPr>
        <w:lastRenderedPageBreak/>
        <w:t xml:space="preserve">del Pleno de esta Asamblea Legislativa, el cual fue aprobado en todos y cada uno de sus términos propuestos en sesión ordinaria de fecha primero de julio de dos mil quince, en consecuencia de lo anterior en términos de lo dispuesto por el artículo 147 fracción I de la Constitución Política del Estado Libre y Soberano de Morelos, se instruyó a la Secretaría de Servicios Legislativos y Parlamentarios para elaborar la minuta correspondiente sobre el texto constitucional aprobado, para su distribución en los Ayuntamientos del Estado de Morelos, con la finalidad de que el Constituyente Permanente, emitiría su voto a favor o en contra de la presente reforma constitucional.” </w:t>
      </w:r>
    </w:p>
    <w:p w14:paraId="29D811A4"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1298DFA"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“Con fecha once de agosto del presente año, por Decreto número 2758, publicado en el Periódico Oficial “Tierra y Libertad” No. 5315, entraron en vigencia las reformas, adiciones y derogaciones de diversas disposiciones de la Constitución Política del Estado Libre y Soberano de Morelos, en materia de transparencia y de combate a la corrupción, en los términos siguientes: </w:t>
      </w:r>
    </w:p>
    <w:p w14:paraId="1238A204"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21AC200A"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2.- ...</w:t>
      </w:r>
    </w:p>
    <w:p w14:paraId="6355D60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F00C5C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14:paraId="247C730F"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 La información que se refiere a la vida privada y los datos personales será protegida en los términos y con las excepciones que fijen las leyes;</w:t>
      </w:r>
    </w:p>
    <w:p w14:paraId="7B75274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III. Toda persona, sin necesidad de acreditar interés alguno o justificar su utilización, tendrá acceso gratuito a la información pública, a sus datos personales o a la rectificación de éstos;</w:t>
      </w:r>
    </w:p>
    <w:p w14:paraId="75837AB3"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IV. Los sujetos obligados deberán preservar sus documentos en archivos administrativos actualizados y publicarán a través de los medios electrónicos disponibles, la información completa y actualizada sobre el ejercicio de los recursos </w:t>
      </w:r>
      <w:r w:rsidRPr="002E074E">
        <w:rPr>
          <w:rFonts w:ascii="Arial" w:eastAsia="Times New Roman" w:hAnsi="Arial" w:cs="Arial"/>
          <w:bCs/>
          <w:sz w:val="24"/>
          <w:szCs w:val="24"/>
          <w:lang w:val="es-ES" w:eastAsia="es-ES"/>
        </w:rPr>
        <w:lastRenderedPageBreak/>
        <w:t>públicos y los indicadores de gestión que permitan rendir cuentas del cumplimiento de sus objetivos y resultados, con relación a los parámetros y obligaciones establecidos por las normas aplicables;</w:t>
      </w:r>
    </w:p>
    <w:p w14:paraId="3E0F300A"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 La ley de la materia determinará la manera en que los sujetos obligados deberán hacer pública la información relativa a los recursos públicos que reciban, manejen, apliquen o entreguen a personas físicas o morales;</w:t>
      </w:r>
    </w:p>
    <w:p w14:paraId="5021A18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14:paraId="613B14F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14:paraId="4F834D7B"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VIII. Se establecerán sistemas electrónicos de consultas estatales y municipales para que los ciudadanos puedan ejercer el derecho de acceso a la información; el Estado apoyará a los municipios que tengan una población mayor a setenta mil habitantes para el cumplimiento de esta disposición;</w:t>
      </w:r>
    </w:p>
    <w:p w14:paraId="6A0D6FA3"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IX. En los casos en que el Instituto Morelense de Información Pública y Estadística, mediante resolución confirme la reserva, confidencialidad, inexistencia o negativa de la información, los solicitantes podrán interponer Recurso de Revisión ante el Instituto Nacional de Transparencia y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14:paraId="01C24FD4"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X. Con el objeto de fortalecer la rendición de cuentas en el estado de Morelos, el Instituto Morelense de Información Pública y Estadística, implementará acciones 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14:paraId="167D34EF"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5C64822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“Así pues, destaca la inclusión de los sindicatos como nuevos sujetos obligados, así como cualquier entidad que ejerza recursos públicos o realice actos de autoridad.</w:t>
      </w:r>
    </w:p>
    <w:p w14:paraId="16E1EE0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747576E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Los principios sobre los que se debe regir el Instituto Morelense de Información Pública, Estadística y Protección de Datos Personales.”</w:t>
      </w:r>
    </w:p>
    <w:p w14:paraId="3FAADD1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“También incluye un recurso de inconformidad ante el Instituto Nacional de Acceso a la Información, para el caso de que el propio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confirme la resolución de inexistencia de información.”</w:t>
      </w:r>
    </w:p>
    <w:p w14:paraId="18F1814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03F9F956"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Artículo 23-A.- 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14:paraId="27DEF89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2FF4647F"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Derogado.</w:t>
      </w:r>
    </w:p>
    <w:p w14:paraId="075B2432" w14:textId="77777777" w:rsidR="00472AE8" w:rsidRDefault="00472AE8" w:rsidP="00E85802">
      <w:pPr>
        <w:spacing w:after="0" w:line="240" w:lineRule="auto"/>
        <w:jc w:val="both"/>
        <w:rPr>
          <w:rFonts w:ascii="Arial" w:eastAsia="Times New Roman" w:hAnsi="Arial" w:cs="Arial"/>
          <w:bCs/>
          <w:sz w:val="24"/>
          <w:szCs w:val="24"/>
          <w:lang w:val="es-ES" w:eastAsia="es-ES"/>
        </w:rPr>
      </w:pPr>
    </w:p>
    <w:p w14:paraId="4DC01E39" w14:textId="15A8CA0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14:paraId="5E54527D"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3ED60D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14:paraId="24A84935"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70D45D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los procedimientos para la selección de los comisionados se deberá garantizar la transparencia, independencia y participación de la sociedad.”</w:t>
      </w:r>
    </w:p>
    <w:p w14:paraId="49A37CB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“En la reforma a dicho artículo, destaca el cambio de denominación de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a Comisionados, así como una ampliación de su periodo de nombramiento de cuatro a siete años, pero sin posibilidad de ratificación.</w:t>
      </w:r>
    </w:p>
    <w:p w14:paraId="1FF3A04B"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60592FBE"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ARTICULO 40.- …</w:t>
      </w:r>
    </w:p>
    <w:p w14:paraId="5889655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a la XXXIX.</w:t>
      </w:r>
      <w:proofErr w:type="gramStart"/>
      <w:r w:rsidRPr="002E074E">
        <w:rPr>
          <w:rFonts w:ascii="Arial" w:eastAsia="Times New Roman" w:hAnsi="Arial" w:cs="Arial"/>
          <w:bCs/>
          <w:sz w:val="24"/>
          <w:szCs w:val="24"/>
          <w:lang w:val="es-ES" w:eastAsia="es-ES"/>
        </w:rPr>
        <w:t>-  …</w:t>
      </w:r>
      <w:proofErr w:type="gramEnd"/>
    </w:p>
    <w:p w14:paraId="2A0181D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XL.- Nombrar a los Comisionados propietarios y suplentes del Instituto Morelense de Información Pública y Estadística, previa consulta pública;</w:t>
      </w:r>
    </w:p>
    <w:p w14:paraId="16DFCB2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XLI a la LIX.- …</w:t>
      </w:r>
    </w:p>
    <w:p w14:paraId="2281AF80"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4367F8A"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ARTÍCULO 45.- El Congreso o la Diputación Permanente podrán llamar a los </w:t>
      </w:r>
      <w:proofErr w:type="gramStart"/>
      <w:r w:rsidRPr="002E074E">
        <w:rPr>
          <w:rFonts w:ascii="Arial" w:eastAsia="Times New Roman" w:hAnsi="Arial" w:cs="Arial"/>
          <w:bCs/>
          <w:sz w:val="24"/>
          <w:szCs w:val="24"/>
          <w:lang w:val="es-ES" w:eastAsia="es-ES"/>
        </w:rPr>
        <w:t>Secretarios</w:t>
      </w:r>
      <w:proofErr w:type="gramEnd"/>
      <w:r w:rsidRPr="002E074E">
        <w:rPr>
          <w:rFonts w:ascii="Arial" w:eastAsia="Times New Roman" w:hAnsi="Arial" w:cs="Arial"/>
          <w:bCs/>
          <w:sz w:val="24"/>
          <w:szCs w:val="24"/>
          <w:lang w:val="es-ES" w:eastAsia="es-ES"/>
        </w:rPr>
        <w:t xml:space="preserve"> del Poder Ejecutivo Estatal y a los Comisionados del Instituto Morelense de Información Pública y Estadística a cualquiera de sus sesiones secretas o públicas para pedirles los informes verbales que necesiten sobre asuntos relacionados con el desempeño de sus funciones y estos funcionarios deberán presentarse a ministrarlos. </w:t>
      </w:r>
    </w:p>
    <w:p w14:paraId="19C7BA43"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E4149C0"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60.-…</w:t>
      </w:r>
    </w:p>
    <w:p w14:paraId="49B70113"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I.- a la </w:t>
      </w:r>
      <w:proofErr w:type="gramStart"/>
      <w:r w:rsidRPr="002E074E">
        <w:rPr>
          <w:rFonts w:ascii="Arial" w:eastAsia="Times New Roman" w:hAnsi="Arial" w:cs="Arial"/>
          <w:bCs/>
          <w:sz w:val="24"/>
          <w:szCs w:val="24"/>
          <w:lang w:val="es-ES" w:eastAsia="es-ES"/>
        </w:rPr>
        <w:t>VI.-</w:t>
      </w:r>
      <w:proofErr w:type="gramEnd"/>
      <w:r w:rsidRPr="002E074E">
        <w:rPr>
          <w:rFonts w:ascii="Arial" w:eastAsia="Times New Roman" w:hAnsi="Arial" w:cs="Arial"/>
          <w:bCs/>
          <w:sz w:val="24"/>
          <w:szCs w:val="24"/>
          <w:lang w:val="es-ES" w:eastAsia="es-ES"/>
        </w:rPr>
        <w:t xml:space="preserve"> …</w:t>
      </w:r>
    </w:p>
    <w:p w14:paraId="0CB103D5"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7DECB241"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VII.- El </w:t>
      </w:r>
      <w:proofErr w:type="gramStart"/>
      <w:r w:rsidRPr="002E074E">
        <w:rPr>
          <w:rFonts w:ascii="Arial" w:eastAsia="Times New Roman" w:hAnsi="Arial" w:cs="Arial"/>
          <w:bCs/>
          <w:sz w:val="24"/>
          <w:szCs w:val="24"/>
          <w:lang w:val="es-ES" w:eastAsia="es-ES"/>
        </w:rPr>
        <w:t>Consejero Presidente</w:t>
      </w:r>
      <w:proofErr w:type="gramEnd"/>
      <w:r w:rsidRPr="002E074E">
        <w:rPr>
          <w:rFonts w:ascii="Arial" w:eastAsia="Times New Roman" w:hAnsi="Arial" w:cs="Arial"/>
          <w:bCs/>
          <w:sz w:val="24"/>
          <w:szCs w:val="24"/>
          <w:lang w:val="es-ES" w:eastAsia="es-ES"/>
        </w:rPr>
        <w:t xml:space="preserve"> y los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Electorales del Organismo Público Electoral de Morelos, los Magistrados del Tribunal Electoral del Estado de Morelos, así como el personal directivo del Organismo Público Electoral de Morelos ni los Comisionados del Instituto Morelense de Información Pública y Estadística, aún si se separan de sus funciones, conforme a lo dispuesto en el artículo 23 de la presente Constitución.”</w:t>
      </w:r>
    </w:p>
    <w:p w14:paraId="7C7F6A6F"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3F232A39"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“Se ratifica el cambio de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a Comisionados.”</w:t>
      </w:r>
    </w:p>
    <w:p w14:paraId="431796F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7B07356D" w14:textId="77777777" w:rsidR="00E85802" w:rsidRPr="002E074E" w:rsidRDefault="00E85802" w:rsidP="00E85802">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TÍTULO SÉPTIMO</w:t>
      </w:r>
    </w:p>
    <w:p w14:paraId="5E99A389" w14:textId="77777777" w:rsidR="00E85802" w:rsidRPr="002E074E" w:rsidRDefault="00E85802" w:rsidP="00E85802">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DEL SISTEMA ESTATAL ANTICORRUPCIÓN</w:t>
      </w:r>
    </w:p>
    <w:p w14:paraId="4723B23C" w14:textId="77777777" w:rsidR="00E85802" w:rsidRDefault="00E85802" w:rsidP="00E85802">
      <w:pPr>
        <w:autoSpaceDE w:val="0"/>
        <w:autoSpaceDN w:val="0"/>
        <w:adjustRightInd w:val="0"/>
        <w:spacing w:after="0" w:line="240" w:lineRule="auto"/>
        <w:jc w:val="both"/>
        <w:rPr>
          <w:rFonts w:ascii="Arial" w:eastAsia="Times New Roman" w:hAnsi="Arial" w:cs="Arial"/>
          <w:bCs/>
          <w:sz w:val="24"/>
          <w:szCs w:val="24"/>
          <w:lang w:val="es-ES" w:eastAsia="es-ES"/>
        </w:rPr>
      </w:pPr>
    </w:p>
    <w:p w14:paraId="3F797E1D" w14:textId="77777777" w:rsidR="00E85802" w:rsidRPr="002E074E" w:rsidRDefault="00E85802" w:rsidP="00E85802">
      <w:pPr>
        <w:autoSpaceDE w:val="0"/>
        <w:autoSpaceDN w:val="0"/>
        <w:adjustRightInd w:val="0"/>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ARTÍCULO 134.- Se establece el Sistema Estatal Anticorrupción, como instancia coordinadora entre las autoridades competentes en la prevención, detección, investigación y sanción de responsabilidades administrativas y hechos de </w:t>
      </w:r>
      <w:r w:rsidRPr="002E074E">
        <w:rPr>
          <w:rFonts w:ascii="Arial" w:eastAsia="Times New Roman" w:hAnsi="Arial" w:cs="Arial"/>
          <w:bCs/>
          <w:sz w:val="24"/>
          <w:szCs w:val="24"/>
          <w:lang w:val="es-ES" w:eastAsia="es-ES"/>
        </w:rPr>
        <w:lastRenderedPageBreak/>
        <w:t>corrupción, el cual se conformará y ajustará a lo dispuesto en la propia Constitución y la normativa aplicable.</w:t>
      </w:r>
    </w:p>
    <w:p w14:paraId="32E801F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09A03BFF"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ciudadanos que se hayan destacado por su contribución a la transparencia, la rendición de cuentas o el combate a la corrupción y serán designados en los términos que establezca la ley.</w:t>
      </w:r>
    </w:p>
    <w:p w14:paraId="632A6240"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6C082F6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Al Gobernador sólo se le podrá exigir responsabilidad durante su cargo, mediante Juicio Político, por violación expresa y calificada como grave a esta Constitución, ataques a la libertad electoral y al derecho de participación ciudadana y por delitos graves del orden común.</w:t>
      </w:r>
    </w:p>
    <w:p w14:paraId="1110644F"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3CE4D9FB" w14:textId="77777777" w:rsidR="00E85802" w:rsidRDefault="00E85802" w:rsidP="00E85802">
      <w:pPr>
        <w:spacing w:after="0" w:line="240" w:lineRule="auto"/>
        <w:jc w:val="both"/>
        <w:rPr>
          <w:rFonts w:ascii="Arial" w:eastAsia="Times New Roman" w:hAnsi="Arial" w:cs="Arial"/>
          <w:sz w:val="24"/>
          <w:szCs w:val="24"/>
          <w:lang w:val="es-ES_tradnl" w:eastAsia="es-ES"/>
        </w:rPr>
      </w:pPr>
      <w:r w:rsidRPr="002E074E">
        <w:rPr>
          <w:rFonts w:ascii="Arial" w:eastAsia="Times New Roman" w:hAnsi="Arial" w:cs="Arial"/>
          <w:sz w:val="24"/>
          <w:szCs w:val="24"/>
          <w:lang w:val="es-ES_tradnl" w:eastAsia="es-ES"/>
        </w:rPr>
        <w:t xml:space="preserve">El Sistema contará con un Comité Coordinador que estará integrado por los Titulares de la </w:t>
      </w:r>
      <w:r w:rsidRPr="002E074E">
        <w:rPr>
          <w:rFonts w:ascii="Arial" w:eastAsia="Times New Roman" w:hAnsi="Arial" w:cs="Arial"/>
          <w:sz w:val="24"/>
          <w:szCs w:val="24"/>
          <w:lang w:eastAsia="es-ES"/>
        </w:rPr>
        <w:t>Entidad Superior de Auditoría y Fiscalización del Congreso del Estado de Morelos,</w:t>
      </w:r>
      <w:r w:rsidRPr="002E074E">
        <w:rPr>
          <w:rFonts w:ascii="Arial" w:eastAsia="Times New Roman" w:hAnsi="Arial" w:cs="Arial"/>
          <w:sz w:val="24"/>
          <w:szCs w:val="24"/>
          <w:lang w:val="es-ES_tradnl" w:eastAsia="es-ES"/>
        </w:rPr>
        <w:t xml:space="preserve">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14:paraId="328B3D43"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22BA0D5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establece que, al Instituto Morelense de Información Pública, Estadística y Protección de Datos Personales, es parte fundamental del Sistema Estatal Anticorrupción.”</w:t>
      </w:r>
    </w:p>
    <w:p w14:paraId="569E2F20"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0D82AFC7" w14:textId="77777777" w:rsidR="00E85802" w:rsidRPr="002E074E" w:rsidRDefault="00E85802" w:rsidP="00E85802">
      <w:pPr>
        <w:autoSpaceDE w:val="0"/>
        <w:autoSpaceDN w:val="0"/>
        <w:adjustRightInd w:val="0"/>
        <w:spacing w:after="0" w:line="240" w:lineRule="auto"/>
        <w:jc w:val="center"/>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DISPOSICIONES TRANSITORIAS</w:t>
      </w:r>
    </w:p>
    <w:p w14:paraId="6F8841F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CUARTA. Los actuales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que conforman el Pleno del Instituto Morelense de Información Pública y Estadística permanecerán en su encargo, denominándose Comisionados a partir del inicio de la vigencia de la presente reforma. Con el propósito de dar cumplimiento a lo establecido en la Constitución Política de los Estados Unidos Mexicanos y la Ley General de Transparencia y Acceso a la Información Pública, deberán continuar en el encargo por un periodo de siete años, contados a partir del inicio de su designación. </w:t>
      </w:r>
    </w:p>
    <w:p w14:paraId="59587667"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31C3320C"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El Pleno del Instituto, expedirá los nombramientos conforme a las nuevas denominaciones y permanencia en los respectivos cargos, en los términos del presente Decreto, publicándolos en el Periódico Oficial “Tierra y Libertad”, órgano de Difusión del Gobierno del Estado de Morelos y remitiéndolos al Congreso del Estado para los efectos conducentes. </w:t>
      </w:r>
    </w:p>
    <w:p w14:paraId="2863CE0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“Se ratifica la confianza del Congreso del Estado en los actuales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nombrándolos ahora Comisionados, con el propósito de aprovechar su experiencia al frente del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quedando designados por siete años a partir de su nombramiento, con el propósito de consolidar rápidamente las reformas en materia de información pública.”</w:t>
      </w:r>
    </w:p>
    <w:p w14:paraId="17E3A9F4"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13FBAD1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SEXTA. El Congreso del Estado deberá adecuar la Ley de Información Pública, Estadística y Protección de Datos Personales del Estado de Morelos y armonizar las leyes relativas, en los términos previstos en la presente reforma y de conformidad con el plazo establecido en el Artículo Transitorio Quinto de la Ley General de Transparencia y Acceso a la Información Pública.</w:t>
      </w:r>
    </w:p>
    <w:p w14:paraId="392C0EB7"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A3D67A2"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“Plazo que vence hasta mayo del año próximo, pareciera mucho tiempo, sin embargo, tomando en cuenta que el primer periodo de sesiones del primer año legislativo está por concluir y que el segundo periodo inicia hasta el uno de febrero, quedan en realidad tres meses de trabajo legislativo para que se venza dicho plazo, tiempo apenas suficiente para llevar a cabo un proceso legislativo responsable, incluyente y profesional sobre esta área vital para las aspiraciones de un Morelos transparente y con menos corrupción cada día.”</w:t>
      </w:r>
    </w:p>
    <w:p w14:paraId="50BD93EF" w14:textId="77777777" w:rsidR="00E85802" w:rsidRDefault="00E85802" w:rsidP="00E85802">
      <w:pPr>
        <w:spacing w:after="0" w:line="240" w:lineRule="auto"/>
        <w:rPr>
          <w:rFonts w:ascii="Arial" w:eastAsia="Times New Roman" w:hAnsi="Arial" w:cs="Arial"/>
          <w:bCs/>
          <w:sz w:val="24"/>
          <w:szCs w:val="24"/>
          <w:lang w:val="es-ES" w:eastAsia="es-ES"/>
        </w:rPr>
      </w:pPr>
    </w:p>
    <w:p w14:paraId="13E108C0" w14:textId="77777777" w:rsidR="00E85802" w:rsidRPr="002E074E" w:rsidRDefault="00E85802" w:rsidP="00E8580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IV.- VALORACIÓN DE LA INICIATIVA</w:t>
      </w:r>
    </w:p>
    <w:p w14:paraId="3B1967D2"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58B0B45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De conformidad con las atribuciones conferidas a la Comisión de Puntos Constitucionales y Legislación y en apego a la fracción II del artículo 104 del Reglamento para Congreso del Estado de Morelos, se procede a analizar en lo general la iniciativa para determinar su procedencia o improcedencia.</w:t>
      </w:r>
    </w:p>
    <w:p w14:paraId="0E041BCB"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EAB039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Cabe hacer notar que mediante Decreto publicado en el Diario Oficial de la Federación de fecha 11 de junio de 2002, se promulgó y publicó la Ley Federal de Transparencia y Acceso a la Información Pública Gubernamental, a partir de ese momento se dio una lucha en distintos órganos jurisdiccionales, teniendo como resultado, entre otros, un fortalecimiento de las facultades y atribuciones de los entes locales encargados de proteger el derecho a la información de los ciudadanos, del que da cuenta la siguiente tesis de jurisprudencia del Poder Judicial de la Federación:</w:t>
      </w:r>
    </w:p>
    <w:p w14:paraId="11B50D86"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tbl>
      <w:tblPr>
        <w:tblW w:w="5000" w:type="pct"/>
        <w:jc w:val="center"/>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604"/>
        <w:gridCol w:w="2260"/>
        <w:gridCol w:w="1075"/>
        <w:gridCol w:w="3883"/>
      </w:tblGrid>
      <w:tr w:rsidR="00E85802" w:rsidRPr="00472AE8" w14:paraId="71C987D4" w14:textId="77777777" w:rsidTr="00472AE8">
        <w:trPr>
          <w:jc w:val="center"/>
        </w:trPr>
        <w:tc>
          <w:tcPr>
            <w:tcW w:w="909" w:type="pct"/>
            <w:tcBorders>
              <w:top w:val="single" w:sz="6" w:space="0" w:color="A0A0A0"/>
              <w:left w:val="single" w:sz="6" w:space="0" w:color="A0A0A0"/>
              <w:bottom w:val="single" w:sz="6" w:space="0" w:color="A0A0A0"/>
              <w:right w:val="single" w:sz="6" w:space="0" w:color="A0A0A0"/>
            </w:tcBorders>
            <w:vAlign w:val="bottom"/>
            <w:hideMark/>
          </w:tcPr>
          <w:p w14:paraId="69D48F77"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Tesis: P./J. 52/2008</w:t>
            </w:r>
          </w:p>
        </w:tc>
        <w:tc>
          <w:tcPr>
            <w:tcW w:w="1281" w:type="pct"/>
            <w:tcBorders>
              <w:top w:val="single" w:sz="6" w:space="0" w:color="A0A0A0"/>
              <w:left w:val="single" w:sz="6" w:space="0" w:color="A0A0A0"/>
              <w:bottom w:val="single" w:sz="6" w:space="0" w:color="A0A0A0"/>
              <w:right w:val="single" w:sz="6" w:space="0" w:color="A0A0A0"/>
            </w:tcBorders>
            <w:vAlign w:val="bottom"/>
            <w:hideMark/>
          </w:tcPr>
          <w:p w14:paraId="1A90B481"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Semanario Judicial de la Federación y su Gaceta</w:t>
            </w:r>
          </w:p>
        </w:tc>
        <w:tc>
          <w:tcPr>
            <w:tcW w:w="609" w:type="pct"/>
            <w:tcBorders>
              <w:top w:val="single" w:sz="6" w:space="0" w:color="A0A0A0"/>
              <w:left w:val="single" w:sz="6" w:space="0" w:color="A0A0A0"/>
              <w:bottom w:val="single" w:sz="6" w:space="0" w:color="A0A0A0"/>
              <w:right w:val="single" w:sz="6" w:space="0" w:color="A0A0A0"/>
            </w:tcBorders>
            <w:vAlign w:val="bottom"/>
            <w:hideMark/>
          </w:tcPr>
          <w:p w14:paraId="3C697E66"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Novena Época</w:t>
            </w:r>
          </w:p>
        </w:tc>
        <w:tc>
          <w:tcPr>
            <w:tcW w:w="2201" w:type="pct"/>
            <w:tcBorders>
              <w:top w:val="single" w:sz="6" w:space="0" w:color="A0A0A0"/>
              <w:left w:val="single" w:sz="6" w:space="0" w:color="A0A0A0"/>
              <w:bottom w:val="single" w:sz="6" w:space="0" w:color="A0A0A0"/>
              <w:right w:val="single" w:sz="6" w:space="0" w:color="A0A0A0"/>
            </w:tcBorders>
            <w:vAlign w:val="bottom"/>
            <w:hideMark/>
          </w:tcPr>
          <w:p w14:paraId="3622D81C"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169477</w:t>
            </w:r>
            <w:r w:rsidRPr="00472AE8">
              <w:rPr>
                <w:rFonts w:ascii="Arial" w:eastAsia="Times New Roman" w:hAnsi="Arial" w:cs="Arial"/>
                <w:bCs/>
                <w:sz w:val="20"/>
                <w:szCs w:val="20"/>
                <w:lang w:val="es-ES" w:eastAsia="es-ES"/>
              </w:rPr>
              <w:t>        </w:t>
            </w:r>
            <w:r w:rsidRPr="00472AE8">
              <w:rPr>
                <w:rFonts w:ascii="Arial" w:eastAsia="Times New Roman" w:hAnsi="Arial" w:cs="Arial"/>
                <w:bCs/>
                <w:sz w:val="20"/>
                <w:szCs w:val="20"/>
                <w:bdr w:val="none" w:sz="0" w:space="0" w:color="auto" w:frame="1"/>
                <w:lang w:val="es-ES" w:eastAsia="es-ES"/>
              </w:rPr>
              <w:t>61 de 74</w:t>
            </w:r>
          </w:p>
        </w:tc>
      </w:tr>
      <w:tr w:rsidR="00E85802" w:rsidRPr="00472AE8" w14:paraId="1E930437" w14:textId="77777777" w:rsidTr="00472AE8">
        <w:trPr>
          <w:jc w:val="center"/>
        </w:trPr>
        <w:tc>
          <w:tcPr>
            <w:tcW w:w="909" w:type="pct"/>
            <w:tcBorders>
              <w:top w:val="single" w:sz="6" w:space="0" w:color="A0A0A0"/>
              <w:left w:val="single" w:sz="6" w:space="0" w:color="A0A0A0"/>
              <w:bottom w:val="single" w:sz="6" w:space="0" w:color="A0A0A0"/>
              <w:right w:val="single" w:sz="6" w:space="0" w:color="A0A0A0"/>
            </w:tcBorders>
            <w:vAlign w:val="bottom"/>
            <w:hideMark/>
          </w:tcPr>
          <w:p w14:paraId="5B6CD22A"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Pleno</w:t>
            </w:r>
          </w:p>
        </w:tc>
        <w:tc>
          <w:tcPr>
            <w:tcW w:w="1281" w:type="pct"/>
            <w:tcBorders>
              <w:top w:val="single" w:sz="6" w:space="0" w:color="A0A0A0"/>
              <w:left w:val="single" w:sz="6" w:space="0" w:color="A0A0A0"/>
              <w:bottom w:val="single" w:sz="6" w:space="0" w:color="A0A0A0"/>
              <w:right w:val="single" w:sz="6" w:space="0" w:color="A0A0A0"/>
            </w:tcBorders>
            <w:vAlign w:val="bottom"/>
            <w:hideMark/>
          </w:tcPr>
          <w:p w14:paraId="78C782BA"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 xml:space="preserve">Tomo XXVII, </w:t>
            </w:r>
            <w:proofErr w:type="gramStart"/>
            <w:r w:rsidRPr="00472AE8">
              <w:rPr>
                <w:rFonts w:ascii="Arial" w:eastAsia="Times New Roman" w:hAnsi="Arial" w:cs="Arial"/>
                <w:bCs/>
                <w:sz w:val="20"/>
                <w:szCs w:val="20"/>
                <w:bdr w:val="none" w:sz="0" w:space="0" w:color="auto" w:frame="1"/>
                <w:lang w:val="es-ES" w:eastAsia="es-ES"/>
              </w:rPr>
              <w:t>Junio</w:t>
            </w:r>
            <w:proofErr w:type="gramEnd"/>
            <w:r w:rsidRPr="00472AE8">
              <w:rPr>
                <w:rFonts w:ascii="Arial" w:eastAsia="Times New Roman" w:hAnsi="Arial" w:cs="Arial"/>
                <w:bCs/>
                <w:sz w:val="20"/>
                <w:szCs w:val="20"/>
                <w:bdr w:val="none" w:sz="0" w:space="0" w:color="auto" w:frame="1"/>
                <w:lang w:val="es-ES" w:eastAsia="es-ES"/>
              </w:rPr>
              <w:t xml:space="preserve"> de 2008</w:t>
            </w:r>
          </w:p>
        </w:tc>
        <w:tc>
          <w:tcPr>
            <w:tcW w:w="609" w:type="pct"/>
            <w:tcBorders>
              <w:top w:val="single" w:sz="6" w:space="0" w:color="A0A0A0"/>
              <w:left w:val="single" w:sz="6" w:space="0" w:color="A0A0A0"/>
              <w:bottom w:val="single" w:sz="6" w:space="0" w:color="A0A0A0"/>
              <w:right w:val="single" w:sz="6" w:space="0" w:color="A0A0A0"/>
            </w:tcBorders>
            <w:vAlign w:val="bottom"/>
            <w:hideMark/>
          </w:tcPr>
          <w:p w14:paraId="18EF01E0" w14:textId="77777777" w:rsidR="00E85802" w:rsidRPr="00472AE8" w:rsidRDefault="00E85802" w:rsidP="00971782">
            <w:pPr>
              <w:spacing w:after="0" w:line="240" w:lineRule="auto"/>
              <w:rPr>
                <w:rFonts w:ascii="Arial" w:eastAsia="Times New Roman" w:hAnsi="Arial" w:cs="Arial"/>
                <w:bCs/>
                <w:sz w:val="20"/>
                <w:szCs w:val="20"/>
                <w:lang w:val="es-ES" w:eastAsia="es-ES"/>
              </w:rPr>
            </w:pPr>
            <w:proofErr w:type="spellStart"/>
            <w:r w:rsidRPr="00472AE8">
              <w:rPr>
                <w:rFonts w:ascii="Arial" w:eastAsia="Times New Roman" w:hAnsi="Arial" w:cs="Arial"/>
                <w:bCs/>
                <w:sz w:val="20"/>
                <w:szCs w:val="20"/>
                <w:bdr w:val="none" w:sz="0" w:space="0" w:color="auto" w:frame="1"/>
                <w:lang w:val="es-ES" w:eastAsia="es-ES"/>
              </w:rPr>
              <w:t>Pag.</w:t>
            </w:r>
            <w:proofErr w:type="spellEnd"/>
            <w:r w:rsidRPr="00472AE8">
              <w:rPr>
                <w:rFonts w:ascii="Arial" w:eastAsia="Times New Roman" w:hAnsi="Arial" w:cs="Arial"/>
                <w:bCs/>
                <w:sz w:val="20"/>
                <w:szCs w:val="20"/>
                <w:bdr w:val="none" w:sz="0" w:space="0" w:color="auto" w:frame="1"/>
                <w:lang w:val="es-ES" w:eastAsia="es-ES"/>
              </w:rPr>
              <w:t xml:space="preserve"> 962</w:t>
            </w:r>
          </w:p>
        </w:tc>
        <w:tc>
          <w:tcPr>
            <w:tcW w:w="2201" w:type="pct"/>
            <w:tcBorders>
              <w:top w:val="single" w:sz="6" w:space="0" w:color="A0A0A0"/>
              <w:left w:val="single" w:sz="6" w:space="0" w:color="A0A0A0"/>
              <w:bottom w:val="single" w:sz="6" w:space="0" w:color="A0A0A0"/>
              <w:right w:val="single" w:sz="6" w:space="0" w:color="A0A0A0"/>
            </w:tcBorders>
            <w:vAlign w:val="bottom"/>
            <w:hideMark/>
          </w:tcPr>
          <w:p w14:paraId="24279BDC" w14:textId="77777777" w:rsidR="00E85802" w:rsidRPr="00472AE8" w:rsidRDefault="00E85802" w:rsidP="00971782">
            <w:pPr>
              <w:spacing w:after="0" w:line="240" w:lineRule="auto"/>
              <w:rPr>
                <w:rFonts w:ascii="Arial" w:eastAsia="Times New Roman" w:hAnsi="Arial" w:cs="Arial"/>
                <w:bCs/>
                <w:sz w:val="20"/>
                <w:szCs w:val="20"/>
                <w:lang w:val="es-ES" w:eastAsia="es-ES"/>
              </w:rPr>
            </w:pPr>
            <w:proofErr w:type="gramStart"/>
            <w:r w:rsidRPr="00472AE8">
              <w:rPr>
                <w:rFonts w:ascii="Arial" w:eastAsia="Times New Roman" w:hAnsi="Arial" w:cs="Arial"/>
                <w:bCs/>
                <w:sz w:val="20"/>
                <w:szCs w:val="20"/>
                <w:bdr w:val="none" w:sz="0" w:space="0" w:color="auto" w:frame="1"/>
                <w:lang w:val="es-ES" w:eastAsia="es-ES"/>
              </w:rPr>
              <w:t>Jurisprudencia(</w:t>
            </w:r>
            <w:proofErr w:type="gramEnd"/>
            <w:r w:rsidRPr="00472AE8">
              <w:rPr>
                <w:rFonts w:ascii="Arial" w:eastAsia="Times New Roman" w:hAnsi="Arial" w:cs="Arial"/>
                <w:bCs/>
                <w:sz w:val="20"/>
                <w:szCs w:val="20"/>
                <w:bdr w:val="none" w:sz="0" w:space="0" w:color="auto" w:frame="1"/>
                <w:lang w:val="es-ES" w:eastAsia="es-ES"/>
              </w:rPr>
              <w:t>Constitucional, Administrativa)</w:t>
            </w:r>
          </w:p>
        </w:tc>
      </w:tr>
    </w:tbl>
    <w:p w14:paraId="09157BCA"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183AA4A4" w14:textId="77777777" w:rsidR="00E85802" w:rsidRPr="002E074E" w:rsidRDefault="00E85802" w:rsidP="00E85802">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INSTITUTO COAHUILENSE DE ACCESO A LA INFORMACIÓN PÚBLICA. TIENE LEGITIMACIÓN PASIVA EN LA CONTROVERSIA CONSTITUCIONAL, PUES EJERCE SUS ATRIBUCIONES CON PLENA AUTONOMÍA.</w:t>
      </w:r>
    </w:p>
    <w:p w14:paraId="1CCADA28"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2D1FFB50"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los artículos </w:t>
      </w:r>
      <w:hyperlink r:id="rId11" w:history="1">
        <w:r w:rsidRPr="002E074E">
          <w:rPr>
            <w:rFonts w:ascii="Arial" w:eastAsia="Times New Roman" w:hAnsi="Arial" w:cs="Arial"/>
            <w:bCs/>
            <w:sz w:val="24"/>
            <w:szCs w:val="24"/>
            <w:bdr w:val="none" w:sz="0" w:space="0" w:color="auto" w:frame="1"/>
            <w:lang w:val="es-ES" w:eastAsia="es-ES"/>
          </w:rPr>
          <w:t>7o. de la Constitución Política del Estado de Coahuila</w:t>
        </w:r>
      </w:hyperlink>
      <w:r w:rsidRPr="002E074E">
        <w:rPr>
          <w:rFonts w:ascii="Arial" w:eastAsia="Times New Roman" w:hAnsi="Arial" w:cs="Arial"/>
          <w:bCs/>
          <w:sz w:val="24"/>
          <w:szCs w:val="24"/>
          <w:lang w:val="es-ES" w:eastAsia="es-ES"/>
        </w:rPr>
        <w:t xml:space="preserve"> y </w:t>
      </w:r>
      <w:hyperlink r:id="rId12" w:history="1">
        <w:r w:rsidRPr="002E074E">
          <w:rPr>
            <w:rFonts w:ascii="Arial" w:eastAsia="Times New Roman" w:hAnsi="Arial" w:cs="Arial"/>
            <w:bCs/>
            <w:sz w:val="24"/>
            <w:szCs w:val="24"/>
            <w:bdr w:val="none" w:sz="0" w:space="0" w:color="auto" w:frame="1"/>
            <w:lang w:val="es-ES" w:eastAsia="es-ES"/>
          </w:rPr>
          <w:t>2o., 5o., 7o., 8o., 9o., 18, 19 y 40 de la Ley del Instituto Coahuilense de Acceso a la Información Pública</w:t>
        </w:r>
      </w:hyperlink>
      <w:r w:rsidRPr="002E074E">
        <w:rPr>
          <w:rFonts w:ascii="Arial" w:eastAsia="Times New Roman" w:hAnsi="Arial" w:cs="Arial"/>
          <w:bCs/>
          <w:sz w:val="24"/>
          <w:szCs w:val="24"/>
          <w:lang w:val="es-ES" w:eastAsia="es-ES"/>
        </w:rPr>
        <w:t>, se advierte que éste es un organismo público autónomo cuyo origen, competencia e integración están previstos en la Constitución Política de dicha entidad federativa, y que tiene completa libertad de acción para tomar sus decisiones, pues su competencia no es compartida o derivada de algún otro ente estatal. Además, es un organismo independiente en sus funciones y decisiones, dotado de personalidad jurídica, patrimonio propio y autonomía política, en tanto que está facultado para resolver con libertad los asuntos de su competencia, sin interferencia de otros poderes u organismos públicos autónomos, salvo los medios de control que establezcan las disposiciones legales aplicables. En este sentido, el Instituto Coahuilense de Acceso a la Información Pública tiene legitimación pasiva en las controversias constitucionales en las que se impugnen sus actos.</w:t>
      </w:r>
    </w:p>
    <w:p w14:paraId="3EF8EA2E"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p>
    <w:p w14:paraId="6E3CB070" w14:textId="77777777" w:rsidR="00E85802" w:rsidRDefault="00E85802" w:rsidP="00E85802">
      <w:pPr>
        <w:spacing w:after="0" w:line="240" w:lineRule="auto"/>
        <w:jc w:val="both"/>
        <w:textAlignment w:val="baseline"/>
        <w:rPr>
          <w:rFonts w:ascii="Arial" w:eastAsia="Times New Roman" w:hAnsi="Arial" w:cs="Arial"/>
          <w:sz w:val="24"/>
          <w:szCs w:val="24"/>
          <w:lang w:eastAsia="es-MX"/>
        </w:rPr>
      </w:pPr>
      <w:r w:rsidRPr="002E074E">
        <w:rPr>
          <w:rFonts w:ascii="Arial" w:eastAsia="Times New Roman" w:hAnsi="Arial" w:cs="Arial"/>
          <w:sz w:val="24"/>
          <w:szCs w:val="24"/>
          <w:lang w:eastAsia="es-MX"/>
        </w:rPr>
        <w:lastRenderedPageBreak/>
        <w:t>Controversia constitucional 61/2005. Municipio de Torreón, Estado de Coahuila. 24 de enero de 2008. Unanimidad de diez votos. Ausente: José Ramón Cossío Díaz. Ponente: José de Jesús Gudiño Pelayo. Secretaria: Carmina Cortés Rodríguez.</w:t>
      </w:r>
    </w:p>
    <w:p w14:paraId="2949AEB4" w14:textId="77777777" w:rsidR="00E85802" w:rsidRPr="002E074E" w:rsidRDefault="00E85802" w:rsidP="00E85802">
      <w:pPr>
        <w:spacing w:after="0" w:line="240" w:lineRule="auto"/>
        <w:jc w:val="both"/>
        <w:textAlignment w:val="baseline"/>
        <w:rPr>
          <w:rFonts w:ascii="Arial" w:eastAsia="Times New Roman" w:hAnsi="Arial" w:cs="Arial"/>
          <w:sz w:val="24"/>
          <w:szCs w:val="24"/>
          <w:lang w:eastAsia="es-MX"/>
        </w:rPr>
      </w:pPr>
    </w:p>
    <w:p w14:paraId="0ABFE62B"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doce de mayo en curso, aprobó, con el número 52/2008, la tesis jurisprudencial que antecede. México, Distrito Federal, a doce de mayo de dos mil ocho.</w:t>
      </w:r>
    </w:p>
    <w:p w14:paraId="7EEDAAA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7EB7C65D" w14:textId="77777777" w:rsidR="00E85802" w:rsidRPr="002E074E" w:rsidRDefault="00E85802" w:rsidP="00E85802">
      <w:pPr>
        <w:spacing w:after="0" w:line="240" w:lineRule="auto"/>
        <w:jc w:val="both"/>
        <w:rPr>
          <w:rFonts w:ascii="Arial" w:eastAsia="Times New Roman" w:hAnsi="Arial" w:cs="Arial"/>
          <w:sz w:val="24"/>
          <w:szCs w:val="24"/>
          <w:lang w:eastAsia="es-ES"/>
        </w:rPr>
      </w:pPr>
      <w:r w:rsidRPr="002E074E">
        <w:rPr>
          <w:rFonts w:ascii="Arial" w:eastAsia="Times New Roman" w:hAnsi="Arial" w:cs="Arial"/>
          <w:sz w:val="24"/>
          <w:szCs w:val="24"/>
          <w:lang w:eastAsia="es-ES"/>
        </w:rPr>
        <w:t>El pasado cuatro de mayo de dos mil quince, fue promulgada la nueva Ley General de Transparencia y Acceso a la Información Pública, destacando, entre muchas otras, las siguientes innovaciones:</w:t>
      </w:r>
    </w:p>
    <w:p w14:paraId="6B41E2EE"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1.-</w:t>
      </w:r>
      <w:r w:rsidRPr="002E074E">
        <w:rPr>
          <w:rFonts w:ascii="Arial" w:eastAsia="Times New Roman" w:hAnsi="Arial" w:cs="Arial"/>
          <w:bCs/>
          <w:sz w:val="24"/>
          <w:szCs w:val="24"/>
          <w:shd w:val="clear" w:color="auto" w:fill="FFFFFF"/>
          <w:lang w:val="es-ES" w:eastAsia="es-ES"/>
        </w:rPr>
        <w:t xml:space="preserve"> La nueva legislación establece principios, bases y procedimientos para</w:t>
      </w:r>
      <w:r w:rsidRPr="002E074E">
        <w:rPr>
          <w:rFonts w:ascii="Arial" w:eastAsia="Times New Roman" w:hAnsi="Arial" w:cs="Arial"/>
          <w:bCs/>
          <w:sz w:val="24"/>
          <w:szCs w:val="24"/>
          <w:bdr w:val="none" w:sz="0" w:space="0" w:color="auto" w:frame="1"/>
          <w:shd w:val="clear" w:color="auto" w:fill="FFFFFF"/>
          <w:lang w:val="es-ES" w:eastAsia="es-ES"/>
        </w:rPr>
        <w:t xml:space="preserve"> garantizar el derecho de acceso a la información de cualquier autoridad</w:t>
      </w:r>
      <w:r w:rsidRPr="002E074E">
        <w:rPr>
          <w:rFonts w:ascii="Arial" w:eastAsia="Times New Roman" w:hAnsi="Arial" w:cs="Arial"/>
          <w:bCs/>
          <w:sz w:val="24"/>
          <w:szCs w:val="24"/>
          <w:shd w:val="clear" w:color="auto" w:fill="FFFFFF"/>
          <w:lang w:val="es-ES" w:eastAsia="es-ES"/>
        </w:rPr>
        <w:t>, entidad de los Poderes de la Unión, los órganos autónomos, partidos políticos, sindicatos, fideicomisos y fondos públicos.</w:t>
      </w:r>
    </w:p>
    <w:p w14:paraId="59ABBC1F"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2C5CCE40"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Incluyendo por primera vez como sujetos obligados a los sindicatos, e incluso cualquier persona moral que reciba recursos públicos por cualquier medio.</w:t>
      </w:r>
    </w:p>
    <w:p w14:paraId="7F6130AF"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4E9595B2"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Al respecto el Poder Judicial de la Federación emitió el siguiente criterio obligatorio:</w:t>
      </w:r>
    </w:p>
    <w:p w14:paraId="5B9CABB3"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878"/>
        <w:gridCol w:w="2766"/>
        <w:gridCol w:w="1094"/>
        <w:gridCol w:w="3084"/>
      </w:tblGrid>
      <w:tr w:rsidR="00E85802" w:rsidRPr="00472AE8" w14:paraId="29726631" w14:textId="77777777" w:rsidTr="00971782">
        <w:tc>
          <w:tcPr>
            <w:tcW w:w="1064" w:type="pct"/>
            <w:tcBorders>
              <w:top w:val="single" w:sz="6" w:space="0" w:color="A0A0A0"/>
              <w:left w:val="single" w:sz="6" w:space="0" w:color="A0A0A0"/>
              <w:bottom w:val="single" w:sz="6" w:space="0" w:color="A0A0A0"/>
              <w:right w:val="single" w:sz="6" w:space="0" w:color="A0A0A0"/>
            </w:tcBorders>
            <w:vAlign w:val="bottom"/>
            <w:hideMark/>
          </w:tcPr>
          <w:p w14:paraId="2473CA4B"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 xml:space="preserve">Tesis: </w:t>
            </w:r>
            <w:proofErr w:type="spellStart"/>
            <w:r w:rsidRPr="00472AE8">
              <w:rPr>
                <w:rFonts w:ascii="Arial" w:eastAsia="Times New Roman" w:hAnsi="Arial" w:cs="Arial"/>
                <w:bCs/>
                <w:sz w:val="20"/>
                <w:szCs w:val="20"/>
                <w:bdr w:val="none" w:sz="0" w:space="0" w:color="auto" w:frame="1"/>
                <w:lang w:val="es-ES" w:eastAsia="es-ES"/>
              </w:rPr>
              <w:t>PC.I.A</w:t>
            </w:r>
            <w:proofErr w:type="spellEnd"/>
            <w:r w:rsidRPr="00472AE8">
              <w:rPr>
                <w:rFonts w:ascii="Arial" w:eastAsia="Times New Roman" w:hAnsi="Arial" w:cs="Arial"/>
                <w:bCs/>
                <w:sz w:val="20"/>
                <w:szCs w:val="20"/>
                <w:bdr w:val="none" w:sz="0" w:space="0" w:color="auto" w:frame="1"/>
                <w:lang w:val="es-ES" w:eastAsia="es-ES"/>
              </w:rPr>
              <w:t>. J/2 A (10a.)</w:t>
            </w:r>
          </w:p>
        </w:tc>
        <w:tc>
          <w:tcPr>
            <w:tcW w:w="1567" w:type="pct"/>
            <w:tcBorders>
              <w:top w:val="single" w:sz="6" w:space="0" w:color="A0A0A0"/>
              <w:left w:val="single" w:sz="6" w:space="0" w:color="A0A0A0"/>
              <w:bottom w:val="single" w:sz="6" w:space="0" w:color="A0A0A0"/>
              <w:right w:val="single" w:sz="6" w:space="0" w:color="A0A0A0"/>
            </w:tcBorders>
            <w:vAlign w:val="bottom"/>
            <w:hideMark/>
          </w:tcPr>
          <w:p w14:paraId="0924780A"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Gaceta del Semanario Judicial de la Federación</w:t>
            </w:r>
          </w:p>
        </w:tc>
        <w:tc>
          <w:tcPr>
            <w:tcW w:w="620" w:type="pct"/>
            <w:tcBorders>
              <w:top w:val="single" w:sz="6" w:space="0" w:color="A0A0A0"/>
              <w:left w:val="single" w:sz="6" w:space="0" w:color="A0A0A0"/>
              <w:bottom w:val="single" w:sz="6" w:space="0" w:color="A0A0A0"/>
              <w:right w:val="single" w:sz="6" w:space="0" w:color="A0A0A0"/>
            </w:tcBorders>
            <w:vAlign w:val="bottom"/>
            <w:hideMark/>
          </w:tcPr>
          <w:p w14:paraId="571DD479"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Décima Época</w:t>
            </w:r>
          </w:p>
        </w:tc>
        <w:tc>
          <w:tcPr>
            <w:tcW w:w="1748" w:type="pct"/>
            <w:tcBorders>
              <w:top w:val="single" w:sz="6" w:space="0" w:color="A0A0A0"/>
              <w:left w:val="single" w:sz="6" w:space="0" w:color="A0A0A0"/>
              <w:bottom w:val="single" w:sz="6" w:space="0" w:color="A0A0A0"/>
              <w:right w:val="single" w:sz="6" w:space="0" w:color="A0A0A0"/>
            </w:tcBorders>
            <w:vAlign w:val="bottom"/>
            <w:hideMark/>
          </w:tcPr>
          <w:p w14:paraId="2E6D12AE"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2009686</w:t>
            </w:r>
            <w:r w:rsidRPr="00472AE8">
              <w:rPr>
                <w:rFonts w:ascii="Arial" w:eastAsia="Times New Roman" w:hAnsi="Arial" w:cs="Arial"/>
                <w:bCs/>
                <w:sz w:val="20"/>
                <w:szCs w:val="20"/>
                <w:lang w:val="es-ES" w:eastAsia="es-ES"/>
              </w:rPr>
              <w:t>        </w:t>
            </w:r>
            <w:r w:rsidRPr="00472AE8">
              <w:rPr>
                <w:rFonts w:ascii="Arial" w:eastAsia="Times New Roman" w:hAnsi="Arial" w:cs="Arial"/>
                <w:bCs/>
                <w:sz w:val="20"/>
                <w:szCs w:val="20"/>
                <w:bdr w:val="none" w:sz="0" w:space="0" w:color="auto" w:frame="1"/>
                <w:lang w:val="es-ES" w:eastAsia="es-ES"/>
              </w:rPr>
              <w:t>6 de 74</w:t>
            </w:r>
          </w:p>
        </w:tc>
      </w:tr>
      <w:tr w:rsidR="00E85802" w:rsidRPr="00472AE8" w14:paraId="61B6EA17" w14:textId="77777777" w:rsidTr="00971782">
        <w:tc>
          <w:tcPr>
            <w:tcW w:w="1064" w:type="pct"/>
            <w:tcBorders>
              <w:top w:val="single" w:sz="6" w:space="0" w:color="A0A0A0"/>
              <w:left w:val="single" w:sz="6" w:space="0" w:color="A0A0A0"/>
              <w:bottom w:val="single" w:sz="6" w:space="0" w:color="A0A0A0"/>
              <w:right w:val="single" w:sz="6" w:space="0" w:color="A0A0A0"/>
            </w:tcBorders>
            <w:vAlign w:val="bottom"/>
            <w:hideMark/>
          </w:tcPr>
          <w:p w14:paraId="24C73C7F"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Plenos de Circuito</w:t>
            </w:r>
          </w:p>
        </w:tc>
        <w:tc>
          <w:tcPr>
            <w:tcW w:w="1567" w:type="pct"/>
            <w:tcBorders>
              <w:top w:val="single" w:sz="6" w:space="0" w:color="A0A0A0"/>
              <w:left w:val="single" w:sz="6" w:space="0" w:color="A0A0A0"/>
              <w:bottom w:val="single" w:sz="6" w:space="0" w:color="A0A0A0"/>
              <w:right w:val="single" w:sz="6" w:space="0" w:color="A0A0A0"/>
            </w:tcBorders>
            <w:vAlign w:val="bottom"/>
            <w:hideMark/>
          </w:tcPr>
          <w:p w14:paraId="0A688DAF"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 xml:space="preserve">Libro 21, </w:t>
            </w:r>
            <w:proofErr w:type="gramStart"/>
            <w:r w:rsidRPr="00472AE8">
              <w:rPr>
                <w:rFonts w:ascii="Arial" w:eastAsia="Times New Roman" w:hAnsi="Arial" w:cs="Arial"/>
                <w:bCs/>
                <w:sz w:val="20"/>
                <w:szCs w:val="20"/>
                <w:bdr w:val="none" w:sz="0" w:space="0" w:color="auto" w:frame="1"/>
                <w:lang w:val="es-ES" w:eastAsia="es-ES"/>
              </w:rPr>
              <w:t>Agosto</w:t>
            </w:r>
            <w:proofErr w:type="gramEnd"/>
            <w:r w:rsidRPr="00472AE8">
              <w:rPr>
                <w:rFonts w:ascii="Arial" w:eastAsia="Times New Roman" w:hAnsi="Arial" w:cs="Arial"/>
                <w:bCs/>
                <w:sz w:val="20"/>
                <w:szCs w:val="20"/>
                <w:bdr w:val="none" w:sz="0" w:space="0" w:color="auto" w:frame="1"/>
                <w:lang w:val="es-ES" w:eastAsia="es-ES"/>
              </w:rPr>
              <w:t xml:space="preserve"> de 2015, Tomo II</w:t>
            </w:r>
          </w:p>
        </w:tc>
        <w:tc>
          <w:tcPr>
            <w:tcW w:w="620" w:type="pct"/>
            <w:tcBorders>
              <w:top w:val="single" w:sz="6" w:space="0" w:color="A0A0A0"/>
              <w:left w:val="single" w:sz="6" w:space="0" w:color="A0A0A0"/>
              <w:bottom w:val="single" w:sz="6" w:space="0" w:color="A0A0A0"/>
              <w:right w:val="single" w:sz="6" w:space="0" w:color="A0A0A0"/>
            </w:tcBorders>
            <w:vAlign w:val="bottom"/>
            <w:hideMark/>
          </w:tcPr>
          <w:p w14:paraId="6810393B" w14:textId="77777777" w:rsidR="00E85802" w:rsidRPr="00472AE8" w:rsidRDefault="00E85802" w:rsidP="00971782">
            <w:pPr>
              <w:spacing w:after="0" w:line="240" w:lineRule="auto"/>
              <w:rPr>
                <w:rFonts w:ascii="Arial" w:eastAsia="Times New Roman" w:hAnsi="Arial" w:cs="Arial"/>
                <w:bCs/>
                <w:sz w:val="20"/>
                <w:szCs w:val="20"/>
                <w:lang w:val="es-ES" w:eastAsia="es-ES"/>
              </w:rPr>
            </w:pPr>
            <w:proofErr w:type="spellStart"/>
            <w:r w:rsidRPr="00472AE8">
              <w:rPr>
                <w:rFonts w:ascii="Arial" w:eastAsia="Times New Roman" w:hAnsi="Arial" w:cs="Arial"/>
                <w:bCs/>
                <w:sz w:val="20"/>
                <w:szCs w:val="20"/>
                <w:bdr w:val="none" w:sz="0" w:space="0" w:color="auto" w:frame="1"/>
                <w:lang w:val="es-ES" w:eastAsia="es-ES"/>
              </w:rPr>
              <w:t>Pag.</w:t>
            </w:r>
            <w:proofErr w:type="spellEnd"/>
            <w:r w:rsidRPr="00472AE8">
              <w:rPr>
                <w:rFonts w:ascii="Arial" w:eastAsia="Times New Roman" w:hAnsi="Arial" w:cs="Arial"/>
                <w:bCs/>
                <w:sz w:val="20"/>
                <w:szCs w:val="20"/>
                <w:bdr w:val="none" w:sz="0" w:space="0" w:color="auto" w:frame="1"/>
                <w:lang w:val="es-ES" w:eastAsia="es-ES"/>
              </w:rPr>
              <w:t xml:space="preserve"> 1484</w:t>
            </w:r>
          </w:p>
        </w:tc>
        <w:tc>
          <w:tcPr>
            <w:tcW w:w="1748" w:type="pct"/>
            <w:tcBorders>
              <w:top w:val="single" w:sz="6" w:space="0" w:color="A0A0A0"/>
              <w:left w:val="single" w:sz="6" w:space="0" w:color="A0A0A0"/>
              <w:bottom w:val="single" w:sz="6" w:space="0" w:color="A0A0A0"/>
              <w:right w:val="single" w:sz="6" w:space="0" w:color="A0A0A0"/>
            </w:tcBorders>
            <w:vAlign w:val="bottom"/>
            <w:hideMark/>
          </w:tcPr>
          <w:p w14:paraId="51707149" w14:textId="77777777" w:rsidR="00E85802" w:rsidRPr="00472AE8" w:rsidRDefault="00E85802" w:rsidP="00971782">
            <w:pPr>
              <w:spacing w:after="0" w:line="240" w:lineRule="auto"/>
              <w:rPr>
                <w:rFonts w:ascii="Arial" w:eastAsia="Times New Roman" w:hAnsi="Arial" w:cs="Arial"/>
                <w:bCs/>
                <w:sz w:val="20"/>
                <w:szCs w:val="20"/>
                <w:lang w:val="es-ES" w:eastAsia="es-ES"/>
              </w:rPr>
            </w:pPr>
            <w:proofErr w:type="gramStart"/>
            <w:r w:rsidRPr="00472AE8">
              <w:rPr>
                <w:rFonts w:ascii="Arial" w:eastAsia="Times New Roman" w:hAnsi="Arial" w:cs="Arial"/>
                <w:bCs/>
                <w:sz w:val="20"/>
                <w:szCs w:val="20"/>
                <w:bdr w:val="none" w:sz="0" w:space="0" w:color="auto" w:frame="1"/>
                <w:lang w:val="es-ES" w:eastAsia="es-ES"/>
              </w:rPr>
              <w:t>Jurisprudencia(</w:t>
            </w:r>
            <w:proofErr w:type="gramEnd"/>
            <w:r w:rsidRPr="00472AE8">
              <w:rPr>
                <w:rFonts w:ascii="Arial" w:eastAsia="Times New Roman" w:hAnsi="Arial" w:cs="Arial"/>
                <w:bCs/>
                <w:sz w:val="20"/>
                <w:szCs w:val="20"/>
                <w:bdr w:val="none" w:sz="0" w:space="0" w:color="auto" w:frame="1"/>
                <w:lang w:val="es-ES" w:eastAsia="es-ES"/>
              </w:rPr>
              <w:t>Constitucional, Administrativa)</w:t>
            </w:r>
          </w:p>
        </w:tc>
      </w:tr>
    </w:tbl>
    <w:p w14:paraId="413F55C3"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35C9F8C6"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INFORMACIÓN PÚBLICA. TIENE ESE CARÁCTER LA QUE SE ENCUENTRA EN POSESIÓN DE PETRÓLEOS MEXICANOS Y SUS ORGANISMOS SUBSIDIARIOS RELATIVA A LOS RECURSOS PÚBLICOS ENTREGADOS AL SINDICATO DE TRABAJADORES PETROLEROS DE LA REPÚBLICA MEXICANA POR CONCEPTO DE PRESTACIONES LABORALES CONTRACTUALES A FAVOR DE SUS TRABAJADORES.</w:t>
      </w:r>
    </w:p>
    <w:p w14:paraId="2059A317" w14:textId="77777777" w:rsidR="00E85802" w:rsidRPr="002E074E" w:rsidRDefault="00E85802" w:rsidP="00E85802">
      <w:pPr>
        <w:spacing w:after="0" w:line="240" w:lineRule="auto"/>
        <w:jc w:val="both"/>
        <w:textAlignment w:val="baseline"/>
        <w:rPr>
          <w:rFonts w:ascii="Arial" w:eastAsia="Times New Roman" w:hAnsi="Arial" w:cs="Arial"/>
          <w:sz w:val="24"/>
          <w:szCs w:val="24"/>
          <w:lang w:val="es-ES" w:eastAsia="es-ES"/>
        </w:rPr>
      </w:pPr>
    </w:p>
    <w:p w14:paraId="29D2770F"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Petróleos Mexicanos y sus organismos subsidiarios (Pemex-Exploración y Producción; Pemex-Refinación; Pemex-Gas y Petroquímica Básica; y Pemex-Petroquímica), constituyen entidades que, conforme a la Ley Federal de Transparencia y Acceso a la Información Pública Gubernamental, están obligadas </w:t>
      </w:r>
      <w:r w:rsidRPr="002E074E">
        <w:rPr>
          <w:rFonts w:ascii="Arial" w:eastAsia="Times New Roman" w:hAnsi="Arial" w:cs="Arial"/>
          <w:bCs/>
          <w:sz w:val="24"/>
          <w:szCs w:val="24"/>
          <w:lang w:val="es-ES" w:eastAsia="es-ES"/>
        </w:rPr>
        <w:lastRenderedPageBreak/>
        <w:t>a proporcionar a los terceros que lo soliciten aquella información que sea pública y de interés general, como es la relativa a los montos y las personas a quienes entreguen, por cualquier motivo, recursos públicos, pues implica la ejecución del presupuesto que les haya sido asignado, respecto del cual, el Director General de ese organismo descentralizado debe rendir cuentas, así como los informes que dichas personas les entreguen sobre el uso y destino de aquéllos; así, los recursos públicos que esos entes entregan al Sindicato de Trabajadores Petroleros de la República Mexicana por concepto de prestaciones laborales contractuales a favor de sus trabajadores, constituyen información pública que puede darse a conocer a los terceros que la soliciten, habida cuenta de que se encuentra directamente vinculada con el patrimonio de los trabajadores aludidos, relativa al pago de prestaciones de índole laboral con recursos públicos presupuestados, respecto de los cuales existe la obligación de rendir cuentas, y no se refiere a datos propios del sindicato o de sus agremiados cuya difusión pudiera afectar su libertad y privacidad como persona jurídica de derecho social, en la medida en que no se refiere a su administración y actividades, o a las cuotas que sus trabajadores afiliados le aportan para el logro de los intereses gremiales.</w:t>
      </w:r>
    </w:p>
    <w:p w14:paraId="0A2E3BCA"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2AB876D9"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PLENO EN MATERIA ADMINISTRATIVA DEL PRIMER CIRCUITO.</w:t>
      </w:r>
    </w:p>
    <w:p w14:paraId="01B41ABC"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75723EBD"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Contradicción de tesis 13/2013. Entre las sustentadas por el Octavo Tribunal Colegiado de Circuito del Centro Auxiliar de la Primera Región, con residencia en Naucalpan, Estado de México, en Auxilio del Décimo Tercer Tribunal Colegiado en Materia Administrativa del Primer Circuito, y el Octavo Tribunal Colegiado en Materia Administrativa del Primer Circuito. 21 de octubre de 2013. La votación se dividió en dos partes: Mayoría de quince votos en cuanto a la competencia; contra el voto de los Magistrados Francisco García Sandoval y Germán Eduardo Baltazar Robles, quien formuló voto particular. Unanimidad de diecisiete votos en cuanto al fondo. Ausente por motivos de salud: Jorge Arturo Camero Ocampo. Ponente: José Ángel Mandujano Gordillo. Secretaria: Noemí Leticia Hernández Román.</w:t>
      </w:r>
    </w:p>
    <w:p w14:paraId="3ADDCB74"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p>
    <w:p w14:paraId="69D2F62F"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Esta tesis se publicó el viernes 17 de enero de 2014 a las 13:02 horas en el Semanario Judicial de la Federación y, por ende, se considera de aplicación obligatoria a partir del lunes 20 de enero de 2014, para los efectos previstos en el punto séptimo del Acuerdo General Plenario 19/2013.</w:t>
      </w:r>
    </w:p>
    <w:p w14:paraId="5D3B4921"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67171F2" w14:textId="77777777" w:rsidR="00E85802" w:rsidRPr="00E80AEB"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2.- Distribuye competencias entre los organismos garantes de acceso a la información de la Federación y de las entidades federativas.</w:t>
      </w:r>
    </w:p>
    <w:p w14:paraId="092D2D87"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25385B01"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Estableciendo un último recurso ante el INAI, para el caso de que, incluso los organismos locales confirmen la negativa de información o inexistencia.</w:t>
      </w:r>
    </w:p>
    <w:p w14:paraId="7E07E95C"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109070E0"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Al respecto, el Poder Judicial de la Federación ha establecido que el Derecho a la Información, además de un carácter individual, un carácter social, lo anterior en la siguiente tesis de jurisprudencia:</w:t>
      </w:r>
    </w:p>
    <w:p w14:paraId="5D34F2A1" w14:textId="77777777" w:rsidR="00472AE8" w:rsidRPr="002E074E" w:rsidRDefault="00472AE8" w:rsidP="00E85802">
      <w:pPr>
        <w:spacing w:after="0" w:line="240" w:lineRule="auto"/>
        <w:jc w:val="both"/>
        <w:rPr>
          <w:rFonts w:ascii="Arial" w:eastAsia="Times New Roman" w:hAnsi="Arial" w:cs="Arial"/>
          <w:bCs/>
          <w:sz w:val="24"/>
          <w:szCs w:val="24"/>
          <w:shd w:val="clear" w:color="auto" w:fill="FFFFFF"/>
          <w:lang w:val="es-ES" w:eastAsia="es-ES"/>
        </w:rPr>
      </w:pP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064"/>
        <w:gridCol w:w="3448"/>
        <w:gridCol w:w="1655"/>
        <w:gridCol w:w="1655"/>
      </w:tblGrid>
      <w:tr w:rsidR="00E85802" w:rsidRPr="00472AE8" w14:paraId="17AC8DD8" w14:textId="77777777" w:rsidTr="00971782">
        <w:tc>
          <w:tcPr>
            <w:tcW w:w="1169" w:type="pct"/>
            <w:tcBorders>
              <w:top w:val="single" w:sz="6" w:space="0" w:color="A0A0A0"/>
              <w:left w:val="single" w:sz="6" w:space="0" w:color="A0A0A0"/>
              <w:bottom w:val="single" w:sz="6" w:space="0" w:color="A0A0A0"/>
              <w:right w:val="single" w:sz="6" w:space="0" w:color="A0A0A0"/>
            </w:tcBorders>
            <w:vAlign w:val="bottom"/>
            <w:hideMark/>
          </w:tcPr>
          <w:p w14:paraId="1046FDFF"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Tesis: P./J. 54/2008</w:t>
            </w:r>
          </w:p>
        </w:tc>
        <w:tc>
          <w:tcPr>
            <w:tcW w:w="1954" w:type="pct"/>
            <w:tcBorders>
              <w:top w:val="single" w:sz="6" w:space="0" w:color="A0A0A0"/>
              <w:left w:val="single" w:sz="6" w:space="0" w:color="A0A0A0"/>
              <w:bottom w:val="single" w:sz="6" w:space="0" w:color="A0A0A0"/>
              <w:right w:val="single" w:sz="6" w:space="0" w:color="A0A0A0"/>
            </w:tcBorders>
            <w:vAlign w:val="bottom"/>
            <w:hideMark/>
          </w:tcPr>
          <w:p w14:paraId="0E8AD118"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Semanario Judicial de la Federación y su Gaceta</w:t>
            </w:r>
          </w:p>
        </w:tc>
        <w:tc>
          <w:tcPr>
            <w:tcW w:w="938" w:type="pct"/>
            <w:tcBorders>
              <w:top w:val="single" w:sz="6" w:space="0" w:color="A0A0A0"/>
              <w:left w:val="single" w:sz="6" w:space="0" w:color="A0A0A0"/>
              <w:bottom w:val="single" w:sz="6" w:space="0" w:color="A0A0A0"/>
              <w:right w:val="single" w:sz="6" w:space="0" w:color="A0A0A0"/>
            </w:tcBorders>
            <w:vAlign w:val="bottom"/>
            <w:hideMark/>
          </w:tcPr>
          <w:p w14:paraId="7E8434B2"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Novena Época</w:t>
            </w:r>
          </w:p>
        </w:tc>
        <w:tc>
          <w:tcPr>
            <w:tcW w:w="938" w:type="pct"/>
            <w:tcBorders>
              <w:top w:val="single" w:sz="6" w:space="0" w:color="A0A0A0"/>
              <w:left w:val="single" w:sz="6" w:space="0" w:color="A0A0A0"/>
              <w:bottom w:val="single" w:sz="6" w:space="0" w:color="A0A0A0"/>
              <w:right w:val="single" w:sz="6" w:space="0" w:color="A0A0A0"/>
            </w:tcBorders>
            <w:vAlign w:val="bottom"/>
            <w:hideMark/>
          </w:tcPr>
          <w:p w14:paraId="30E68C99"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169574</w:t>
            </w:r>
            <w:r w:rsidRPr="00472AE8">
              <w:rPr>
                <w:rFonts w:ascii="Arial" w:eastAsia="Times New Roman" w:hAnsi="Arial" w:cs="Arial"/>
                <w:bCs/>
                <w:sz w:val="20"/>
                <w:szCs w:val="20"/>
                <w:lang w:val="es-ES" w:eastAsia="es-ES"/>
              </w:rPr>
              <w:t>        </w:t>
            </w:r>
            <w:r w:rsidRPr="00472AE8">
              <w:rPr>
                <w:rFonts w:ascii="Arial" w:eastAsia="Times New Roman" w:hAnsi="Arial" w:cs="Arial"/>
                <w:bCs/>
                <w:sz w:val="20"/>
                <w:szCs w:val="20"/>
                <w:bdr w:val="none" w:sz="0" w:space="0" w:color="auto" w:frame="1"/>
                <w:lang w:val="es-ES" w:eastAsia="es-ES"/>
              </w:rPr>
              <w:t>57 de 74</w:t>
            </w:r>
          </w:p>
        </w:tc>
      </w:tr>
      <w:tr w:rsidR="00E85802" w:rsidRPr="00472AE8" w14:paraId="1C8F4AF0" w14:textId="77777777" w:rsidTr="00971782">
        <w:tc>
          <w:tcPr>
            <w:tcW w:w="1169" w:type="pct"/>
            <w:tcBorders>
              <w:top w:val="single" w:sz="6" w:space="0" w:color="A0A0A0"/>
              <w:left w:val="single" w:sz="6" w:space="0" w:color="A0A0A0"/>
              <w:bottom w:val="single" w:sz="6" w:space="0" w:color="A0A0A0"/>
              <w:right w:val="single" w:sz="6" w:space="0" w:color="A0A0A0"/>
            </w:tcBorders>
            <w:vAlign w:val="bottom"/>
            <w:hideMark/>
          </w:tcPr>
          <w:p w14:paraId="51CA5D27"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Pleno</w:t>
            </w:r>
          </w:p>
        </w:tc>
        <w:tc>
          <w:tcPr>
            <w:tcW w:w="1954" w:type="pct"/>
            <w:tcBorders>
              <w:top w:val="single" w:sz="6" w:space="0" w:color="A0A0A0"/>
              <w:left w:val="single" w:sz="6" w:space="0" w:color="A0A0A0"/>
              <w:bottom w:val="single" w:sz="6" w:space="0" w:color="A0A0A0"/>
              <w:right w:val="single" w:sz="6" w:space="0" w:color="A0A0A0"/>
            </w:tcBorders>
            <w:vAlign w:val="bottom"/>
            <w:hideMark/>
          </w:tcPr>
          <w:p w14:paraId="5B647829"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 xml:space="preserve">Tomo XXVII, </w:t>
            </w:r>
            <w:proofErr w:type="gramStart"/>
            <w:r w:rsidRPr="00472AE8">
              <w:rPr>
                <w:rFonts w:ascii="Arial" w:eastAsia="Times New Roman" w:hAnsi="Arial" w:cs="Arial"/>
                <w:bCs/>
                <w:sz w:val="20"/>
                <w:szCs w:val="20"/>
                <w:bdr w:val="none" w:sz="0" w:space="0" w:color="auto" w:frame="1"/>
                <w:lang w:val="es-ES" w:eastAsia="es-ES"/>
              </w:rPr>
              <w:t>Junio</w:t>
            </w:r>
            <w:proofErr w:type="gramEnd"/>
            <w:r w:rsidRPr="00472AE8">
              <w:rPr>
                <w:rFonts w:ascii="Arial" w:eastAsia="Times New Roman" w:hAnsi="Arial" w:cs="Arial"/>
                <w:bCs/>
                <w:sz w:val="20"/>
                <w:szCs w:val="20"/>
                <w:bdr w:val="none" w:sz="0" w:space="0" w:color="auto" w:frame="1"/>
                <w:lang w:val="es-ES" w:eastAsia="es-ES"/>
              </w:rPr>
              <w:t xml:space="preserve"> de 2008</w:t>
            </w:r>
          </w:p>
        </w:tc>
        <w:tc>
          <w:tcPr>
            <w:tcW w:w="938" w:type="pct"/>
            <w:tcBorders>
              <w:top w:val="single" w:sz="6" w:space="0" w:color="A0A0A0"/>
              <w:left w:val="single" w:sz="6" w:space="0" w:color="A0A0A0"/>
              <w:bottom w:val="single" w:sz="6" w:space="0" w:color="A0A0A0"/>
              <w:right w:val="single" w:sz="6" w:space="0" w:color="A0A0A0"/>
            </w:tcBorders>
            <w:vAlign w:val="bottom"/>
            <w:hideMark/>
          </w:tcPr>
          <w:p w14:paraId="38629250" w14:textId="77777777" w:rsidR="00E85802" w:rsidRPr="00472AE8" w:rsidRDefault="00E85802" w:rsidP="00971782">
            <w:pPr>
              <w:spacing w:after="0" w:line="240" w:lineRule="auto"/>
              <w:rPr>
                <w:rFonts w:ascii="Arial" w:eastAsia="Times New Roman" w:hAnsi="Arial" w:cs="Arial"/>
                <w:bCs/>
                <w:sz w:val="20"/>
                <w:szCs w:val="20"/>
                <w:lang w:val="es-ES" w:eastAsia="es-ES"/>
              </w:rPr>
            </w:pPr>
            <w:proofErr w:type="spellStart"/>
            <w:r w:rsidRPr="00472AE8">
              <w:rPr>
                <w:rFonts w:ascii="Arial" w:eastAsia="Times New Roman" w:hAnsi="Arial" w:cs="Arial"/>
                <w:bCs/>
                <w:sz w:val="20"/>
                <w:szCs w:val="20"/>
                <w:bdr w:val="none" w:sz="0" w:space="0" w:color="auto" w:frame="1"/>
                <w:lang w:val="es-ES" w:eastAsia="es-ES"/>
              </w:rPr>
              <w:t>Pag.</w:t>
            </w:r>
            <w:proofErr w:type="spellEnd"/>
            <w:r w:rsidRPr="00472AE8">
              <w:rPr>
                <w:rFonts w:ascii="Arial" w:eastAsia="Times New Roman" w:hAnsi="Arial" w:cs="Arial"/>
                <w:bCs/>
                <w:sz w:val="20"/>
                <w:szCs w:val="20"/>
                <w:bdr w:val="none" w:sz="0" w:space="0" w:color="auto" w:frame="1"/>
                <w:lang w:val="es-ES" w:eastAsia="es-ES"/>
              </w:rPr>
              <w:t xml:space="preserve"> 743</w:t>
            </w:r>
          </w:p>
        </w:tc>
        <w:tc>
          <w:tcPr>
            <w:tcW w:w="938" w:type="pct"/>
            <w:tcBorders>
              <w:top w:val="single" w:sz="6" w:space="0" w:color="A0A0A0"/>
              <w:left w:val="single" w:sz="6" w:space="0" w:color="A0A0A0"/>
              <w:bottom w:val="single" w:sz="6" w:space="0" w:color="A0A0A0"/>
              <w:right w:val="single" w:sz="6" w:space="0" w:color="A0A0A0"/>
            </w:tcBorders>
            <w:vAlign w:val="bottom"/>
            <w:hideMark/>
          </w:tcPr>
          <w:p w14:paraId="3893E39A" w14:textId="77777777" w:rsidR="00E85802" w:rsidRPr="00472AE8" w:rsidRDefault="00E85802" w:rsidP="00971782">
            <w:pPr>
              <w:spacing w:after="0" w:line="240" w:lineRule="auto"/>
              <w:rPr>
                <w:rFonts w:ascii="Arial" w:eastAsia="Times New Roman" w:hAnsi="Arial" w:cs="Arial"/>
                <w:bCs/>
                <w:sz w:val="20"/>
                <w:szCs w:val="20"/>
                <w:lang w:val="es-ES" w:eastAsia="es-ES"/>
              </w:rPr>
            </w:pPr>
            <w:r w:rsidRPr="00472AE8">
              <w:rPr>
                <w:rFonts w:ascii="Arial" w:eastAsia="Times New Roman" w:hAnsi="Arial" w:cs="Arial"/>
                <w:bCs/>
                <w:sz w:val="20"/>
                <w:szCs w:val="20"/>
                <w:bdr w:val="none" w:sz="0" w:space="0" w:color="auto" w:frame="1"/>
                <w:lang w:val="es-ES" w:eastAsia="es-ES"/>
              </w:rPr>
              <w:t>Jurisprudencia (Constitucional)</w:t>
            </w:r>
          </w:p>
        </w:tc>
      </w:tr>
    </w:tbl>
    <w:p w14:paraId="403A914F"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21E55F6A" w14:textId="77777777" w:rsidR="00E85802" w:rsidRPr="002E074E" w:rsidRDefault="00E85802" w:rsidP="00E85802">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ACCESO A LA INFORMACIÓN. SU NATURALEZA COMO GARANTÍAS INDIVIDUAL Y SOCIAL.</w:t>
      </w:r>
    </w:p>
    <w:p w14:paraId="778A2592"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09D0377F"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El acceso a la información se distingue de otros derechos intangibles por su doble carácter: como un derecho en sí mismo y como un medio o instrumento para el ejercicio de otros derechos. En efecto, además de un valor propio, la información tiene uno instrumental que sirve como presupuesto del ejercicio de otros derechos y como base para que los gobernados ejerzan un control respecto del funcionamiento institucional de los poderes públicos, por lo que se perfila como un límite a la exclusividad estatal en el manejo de la información y, por ende, como una exigencia social de todo Estado de Derecho. Así, el acceso a la información como garantía individual tiene por objeto maximizar el campo de la autonomía personal, posibilitando el ejercicio de la libertad de expresión en un contexto de mayor diversidad de datos, voces y opiniones; incluso algunos instrumentos internacionales lo asocian a la libertad de pensamiento y expresión, a las cuales describen como el derecho que comprende la libertad de buscar, recibir y difundir informaciones e ideas de toda índole. </w:t>
      </w:r>
    </w:p>
    <w:p w14:paraId="13EDB484"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p>
    <w:p w14:paraId="2132FA55"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Por otro lado, el acceso a la información como derecho colectivo o garantía social cobra un marcado carácter público en tanto que funcionalmente tiende a revelar el empleo instrumental de la información no sólo como factor de autorrealización personal, sino como mecanismo de control institucional, pues se trata de un derecho </w:t>
      </w:r>
      <w:r w:rsidRPr="002E074E">
        <w:rPr>
          <w:rFonts w:ascii="Arial" w:eastAsia="Times New Roman" w:hAnsi="Arial" w:cs="Arial"/>
          <w:bCs/>
          <w:sz w:val="24"/>
          <w:szCs w:val="24"/>
          <w:lang w:val="es-ES" w:eastAsia="es-ES"/>
        </w:rPr>
        <w:lastRenderedPageBreak/>
        <w:t>fundado en una de las características principales del gobierno republicano, que es el de la publicidad de los actos de gobierno y la transparencia de la administración. Por tanto, este derecho resulta ser una consecuencia directa del principio administrativo de transparencia de la información pública gubernamental y, a la vez, se vincula con el derecho de participación de los ciudadanos en la vida pública, protegido por la Constitución Política de los Estados Unidos Mexicanos.</w:t>
      </w:r>
    </w:p>
    <w:p w14:paraId="47C37D7B" w14:textId="77777777" w:rsidR="00472AE8" w:rsidRPr="002E074E" w:rsidRDefault="00472AE8" w:rsidP="00E85802">
      <w:pPr>
        <w:spacing w:after="0" w:line="240" w:lineRule="auto"/>
        <w:jc w:val="both"/>
        <w:textAlignment w:val="baseline"/>
        <w:rPr>
          <w:rFonts w:ascii="Arial" w:eastAsia="Times New Roman" w:hAnsi="Arial" w:cs="Arial"/>
          <w:bCs/>
          <w:sz w:val="24"/>
          <w:szCs w:val="24"/>
          <w:lang w:val="es-ES" w:eastAsia="es-ES"/>
        </w:rPr>
      </w:pPr>
    </w:p>
    <w:p w14:paraId="3BBA4235"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Controversia constitucional 61/2005. Municipio de Torreón, Estado de Coahuila. 24 de enero de 2008. Unanimidad de diez votos. Ausente: José Ramón Cossío Díaz. Ponente: José de Jesús Gudiño Pelayo. Secretaria: Carmina Cortés Rodríguez.</w:t>
      </w:r>
    </w:p>
    <w:p w14:paraId="738AAEFC"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A68018B"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doce de mayo en curso, aprobó, con el número 54/2008, la tesis jurisprudencial que antecede. México, Distrito Federal, a doce de mayo de dos mil ocho.</w:t>
      </w:r>
    </w:p>
    <w:p w14:paraId="730FFF0B"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7B84920"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3.- </w:t>
      </w:r>
      <w:r w:rsidRPr="002E074E">
        <w:rPr>
          <w:rFonts w:ascii="Arial" w:eastAsia="Times New Roman" w:hAnsi="Arial" w:cs="Arial"/>
          <w:bCs/>
          <w:sz w:val="24"/>
          <w:szCs w:val="24"/>
          <w:shd w:val="clear" w:color="auto" w:fill="FFFFFF"/>
          <w:lang w:val="es-ES" w:eastAsia="es-ES"/>
        </w:rPr>
        <w:t xml:space="preserve">Define la integración y funcionamiento del </w:t>
      </w:r>
      <w:r w:rsidRPr="002E074E">
        <w:rPr>
          <w:rFonts w:ascii="Arial" w:eastAsia="Times New Roman" w:hAnsi="Arial" w:cs="Arial"/>
          <w:bCs/>
          <w:sz w:val="24"/>
          <w:szCs w:val="24"/>
          <w:bdr w:val="none" w:sz="0" w:space="0" w:color="auto" w:frame="1"/>
          <w:shd w:val="clear" w:color="auto" w:fill="FFFFFF"/>
          <w:lang w:val="es-ES" w:eastAsia="es-ES"/>
        </w:rPr>
        <w:t>Sistema Nacional de Transparencia</w:t>
      </w:r>
      <w:r w:rsidRPr="002E074E">
        <w:rPr>
          <w:rFonts w:ascii="Arial" w:eastAsia="Times New Roman" w:hAnsi="Arial" w:cs="Arial"/>
          <w:bCs/>
          <w:sz w:val="24"/>
          <w:szCs w:val="24"/>
          <w:shd w:val="clear" w:color="auto" w:fill="FFFFFF"/>
          <w:lang w:val="es-ES" w:eastAsia="es-ES"/>
        </w:rPr>
        <w:t>, Acceso a la Información Pública y Protección de Datos Personales, cuyo propósito será fortalecer la rendición de cuentas del Estado mexicano.</w:t>
      </w:r>
    </w:p>
    <w:p w14:paraId="03DA1B7B"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615D02C4"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Integrando a los organismos locales, al respecto el Poder Judicial de la Federación se ha pronunciado al respecto sobre el fortalecimiento e independencia de los organismos locales en los términos siguientes:</w:t>
      </w:r>
    </w:p>
    <w:p w14:paraId="4840052D"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426"/>
        <w:gridCol w:w="2823"/>
        <w:gridCol w:w="1200"/>
        <w:gridCol w:w="2373"/>
      </w:tblGrid>
      <w:tr w:rsidR="00E85802" w:rsidRPr="002E074E" w14:paraId="2431498D" w14:textId="77777777" w:rsidTr="00971782">
        <w:tc>
          <w:tcPr>
            <w:tcW w:w="1375" w:type="pct"/>
            <w:tcBorders>
              <w:top w:val="single" w:sz="6" w:space="0" w:color="A0A0A0"/>
              <w:left w:val="single" w:sz="6" w:space="0" w:color="A0A0A0"/>
              <w:bottom w:val="single" w:sz="6" w:space="0" w:color="A0A0A0"/>
              <w:right w:val="single" w:sz="6" w:space="0" w:color="A0A0A0"/>
            </w:tcBorders>
            <w:vAlign w:val="bottom"/>
            <w:hideMark/>
          </w:tcPr>
          <w:p w14:paraId="5B135F5F"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Tesis: P./J. 6/2012 (10a.)</w:t>
            </w:r>
          </w:p>
        </w:tc>
        <w:tc>
          <w:tcPr>
            <w:tcW w:w="1600" w:type="pct"/>
            <w:tcBorders>
              <w:top w:val="single" w:sz="6" w:space="0" w:color="A0A0A0"/>
              <w:left w:val="single" w:sz="6" w:space="0" w:color="A0A0A0"/>
              <w:bottom w:val="single" w:sz="6" w:space="0" w:color="A0A0A0"/>
              <w:right w:val="single" w:sz="6" w:space="0" w:color="A0A0A0"/>
            </w:tcBorders>
            <w:vAlign w:val="bottom"/>
            <w:hideMark/>
          </w:tcPr>
          <w:p w14:paraId="113E990E"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Semanario Judicial de la Federación y su Gaceta</w:t>
            </w:r>
          </w:p>
        </w:tc>
        <w:tc>
          <w:tcPr>
            <w:tcW w:w="680" w:type="pct"/>
            <w:tcBorders>
              <w:top w:val="single" w:sz="6" w:space="0" w:color="A0A0A0"/>
              <w:left w:val="single" w:sz="6" w:space="0" w:color="A0A0A0"/>
              <w:bottom w:val="single" w:sz="6" w:space="0" w:color="A0A0A0"/>
              <w:right w:val="single" w:sz="6" w:space="0" w:color="A0A0A0"/>
            </w:tcBorders>
            <w:vAlign w:val="bottom"/>
            <w:hideMark/>
          </w:tcPr>
          <w:p w14:paraId="298263E3"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Décima Época</w:t>
            </w:r>
          </w:p>
        </w:tc>
        <w:tc>
          <w:tcPr>
            <w:tcW w:w="1345" w:type="pct"/>
            <w:tcBorders>
              <w:top w:val="single" w:sz="6" w:space="0" w:color="A0A0A0"/>
              <w:left w:val="single" w:sz="6" w:space="0" w:color="A0A0A0"/>
              <w:bottom w:val="single" w:sz="6" w:space="0" w:color="A0A0A0"/>
              <w:right w:val="single" w:sz="6" w:space="0" w:color="A0A0A0"/>
            </w:tcBorders>
            <w:vAlign w:val="bottom"/>
            <w:hideMark/>
          </w:tcPr>
          <w:p w14:paraId="0A3EBEFB"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2000967</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24 de 74</w:t>
            </w:r>
          </w:p>
        </w:tc>
      </w:tr>
      <w:tr w:rsidR="00E85802" w:rsidRPr="002E074E" w14:paraId="59AB73B8" w14:textId="77777777" w:rsidTr="00971782">
        <w:tc>
          <w:tcPr>
            <w:tcW w:w="1375" w:type="pct"/>
            <w:tcBorders>
              <w:top w:val="single" w:sz="6" w:space="0" w:color="A0A0A0"/>
              <w:left w:val="single" w:sz="6" w:space="0" w:color="A0A0A0"/>
              <w:bottom w:val="single" w:sz="6" w:space="0" w:color="A0A0A0"/>
              <w:right w:val="single" w:sz="6" w:space="0" w:color="A0A0A0"/>
            </w:tcBorders>
            <w:vAlign w:val="bottom"/>
            <w:hideMark/>
          </w:tcPr>
          <w:p w14:paraId="11DF59B4"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Pleno</w:t>
            </w:r>
          </w:p>
        </w:tc>
        <w:tc>
          <w:tcPr>
            <w:tcW w:w="1600" w:type="pct"/>
            <w:tcBorders>
              <w:top w:val="single" w:sz="6" w:space="0" w:color="A0A0A0"/>
              <w:left w:val="single" w:sz="6" w:space="0" w:color="A0A0A0"/>
              <w:bottom w:val="single" w:sz="6" w:space="0" w:color="A0A0A0"/>
              <w:right w:val="single" w:sz="6" w:space="0" w:color="A0A0A0"/>
            </w:tcBorders>
            <w:vAlign w:val="bottom"/>
            <w:hideMark/>
          </w:tcPr>
          <w:p w14:paraId="4080F9B3"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 xml:space="preserve">Libro IX, </w:t>
            </w:r>
            <w:proofErr w:type="gramStart"/>
            <w:r w:rsidRPr="002E074E">
              <w:rPr>
                <w:rFonts w:ascii="Arial" w:eastAsia="Times New Roman" w:hAnsi="Arial" w:cs="Arial"/>
                <w:bCs/>
                <w:sz w:val="24"/>
                <w:szCs w:val="24"/>
                <w:bdr w:val="none" w:sz="0" w:space="0" w:color="auto" w:frame="1"/>
                <w:lang w:val="es-ES" w:eastAsia="es-ES"/>
              </w:rPr>
              <w:t>Junio</w:t>
            </w:r>
            <w:proofErr w:type="gramEnd"/>
            <w:r w:rsidRPr="002E074E">
              <w:rPr>
                <w:rFonts w:ascii="Arial" w:eastAsia="Times New Roman" w:hAnsi="Arial" w:cs="Arial"/>
                <w:bCs/>
                <w:sz w:val="24"/>
                <w:szCs w:val="24"/>
                <w:bdr w:val="none" w:sz="0" w:space="0" w:color="auto" w:frame="1"/>
                <w:lang w:val="es-ES" w:eastAsia="es-ES"/>
              </w:rPr>
              <w:t xml:space="preserve"> de 2012, Tomo 1</w:t>
            </w:r>
          </w:p>
        </w:tc>
        <w:tc>
          <w:tcPr>
            <w:tcW w:w="680" w:type="pct"/>
            <w:tcBorders>
              <w:top w:val="single" w:sz="6" w:space="0" w:color="A0A0A0"/>
              <w:left w:val="single" w:sz="6" w:space="0" w:color="A0A0A0"/>
              <w:bottom w:val="single" w:sz="6" w:space="0" w:color="A0A0A0"/>
              <w:right w:val="single" w:sz="6" w:space="0" w:color="A0A0A0"/>
            </w:tcBorders>
            <w:vAlign w:val="bottom"/>
            <w:hideMark/>
          </w:tcPr>
          <w:p w14:paraId="2EF8216B" w14:textId="77777777" w:rsidR="00E85802" w:rsidRPr="002E074E" w:rsidRDefault="00E85802" w:rsidP="00971782">
            <w:pPr>
              <w:spacing w:after="0" w:line="240" w:lineRule="auto"/>
              <w:rPr>
                <w:rFonts w:ascii="Arial" w:eastAsia="Times New Roman" w:hAnsi="Arial" w:cs="Arial"/>
                <w:bCs/>
                <w:sz w:val="24"/>
                <w:szCs w:val="24"/>
                <w:lang w:val="es-ES" w:eastAsia="es-ES"/>
              </w:rPr>
            </w:pPr>
            <w:proofErr w:type="spellStart"/>
            <w:r w:rsidRPr="002E074E">
              <w:rPr>
                <w:rFonts w:ascii="Arial" w:eastAsia="Times New Roman" w:hAnsi="Arial" w:cs="Arial"/>
                <w:bCs/>
                <w:sz w:val="24"/>
                <w:szCs w:val="24"/>
                <w:bdr w:val="none" w:sz="0" w:space="0" w:color="auto" w:frame="1"/>
                <w:lang w:val="es-ES" w:eastAsia="es-ES"/>
              </w:rPr>
              <w:t>Pag.</w:t>
            </w:r>
            <w:proofErr w:type="spellEnd"/>
            <w:r w:rsidRPr="002E074E">
              <w:rPr>
                <w:rFonts w:ascii="Arial" w:eastAsia="Times New Roman" w:hAnsi="Arial" w:cs="Arial"/>
                <w:bCs/>
                <w:sz w:val="24"/>
                <w:szCs w:val="24"/>
                <w:bdr w:val="none" w:sz="0" w:space="0" w:color="auto" w:frame="1"/>
                <w:lang w:val="es-ES" w:eastAsia="es-ES"/>
              </w:rPr>
              <w:t xml:space="preserve"> 19</w:t>
            </w:r>
          </w:p>
        </w:tc>
        <w:tc>
          <w:tcPr>
            <w:tcW w:w="1345" w:type="pct"/>
            <w:tcBorders>
              <w:top w:val="single" w:sz="6" w:space="0" w:color="A0A0A0"/>
              <w:left w:val="single" w:sz="6" w:space="0" w:color="A0A0A0"/>
              <w:bottom w:val="single" w:sz="6" w:space="0" w:color="A0A0A0"/>
              <w:right w:val="single" w:sz="6" w:space="0" w:color="A0A0A0"/>
            </w:tcBorders>
            <w:vAlign w:val="bottom"/>
            <w:hideMark/>
          </w:tcPr>
          <w:p w14:paraId="0026D41A" w14:textId="77777777" w:rsidR="00E85802" w:rsidRPr="002E074E" w:rsidRDefault="00E85802" w:rsidP="00971782">
            <w:pPr>
              <w:spacing w:after="0" w:line="240" w:lineRule="auto"/>
              <w:rPr>
                <w:rFonts w:ascii="Arial" w:eastAsia="Times New Roman" w:hAnsi="Arial" w:cs="Arial"/>
                <w:bCs/>
                <w:sz w:val="24"/>
                <w:szCs w:val="24"/>
                <w:bdr w:val="none" w:sz="0" w:space="0" w:color="auto" w:frame="1"/>
                <w:lang w:val="es-ES" w:eastAsia="es-ES"/>
              </w:rPr>
            </w:pPr>
            <w:r w:rsidRPr="002E074E">
              <w:rPr>
                <w:rFonts w:ascii="Arial" w:eastAsia="Times New Roman" w:hAnsi="Arial" w:cs="Arial"/>
                <w:bCs/>
                <w:sz w:val="24"/>
                <w:szCs w:val="24"/>
                <w:bdr w:val="none" w:sz="0" w:space="0" w:color="auto" w:frame="1"/>
                <w:lang w:val="es-ES" w:eastAsia="es-ES"/>
              </w:rPr>
              <w:t>Jurisprudencia</w:t>
            </w:r>
          </w:p>
          <w:p w14:paraId="6CA38ED5"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(Constitucional)</w:t>
            </w:r>
          </w:p>
        </w:tc>
      </w:tr>
    </w:tbl>
    <w:p w14:paraId="2183491D"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4498AD42" w14:textId="77777777" w:rsidR="00E85802" w:rsidRPr="002E074E" w:rsidRDefault="00E85802" w:rsidP="00E85802">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CONTROVERSIA CONSTITUCIONAL. LA IMPUGNACIÓN DE RESOLUCIONES DICTADAS POR LOS ÓRGANOS ESTATALES ESPECIALIZADOS EN MATERIA DE ACCESO A LA INFORMACIÓN PÚBLICA, POR MOTIVOS DE MERA LEGALIDAD Y NO POR UN PROBLEMA DE INVASIÓN DE ESFERAS, CONSTITUYE UN MOTIVO MANIFIESTO E INDUDABLE DE IMPROCEDENCIA QUE LLEVA A DESECHAR DE PLANO LA DEMANDA.</w:t>
      </w:r>
    </w:p>
    <w:p w14:paraId="303BA102"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7A9C9002"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Acorde con el artículo </w:t>
      </w:r>
      <w:hyperlink r:id="rId13" w:history="1">
        <w:r w:rsidRPr="002E074E">
          <w:rPr>
            <w:rFonts w:ascii="Arial" w:eastAsia="Times New Roman" w:hAnsi="Arial" w:cs="Arial"/>
            <w:bCs/>
            <w:sz w:val="24"/>
            <w:szCs w:val="24"/>
            <w:bdr w:val="none" w:sz="0" w:space="0" w:color="auto" w:frame="1"/>
            <w:lang w:val="es-ES" w:eastAsia="es-ES"/>
          </w:rPr>
          <w:t>25 de la Ley Reglamentaria de las Fracciones I y II del Artículo 105 de la Constitución Política de los Estados Unidos Mexicanos</w:t>
        </w:r>
      </w:hyperlink>
      <w:r w:rsidRPr="002E074E">
        <w:rPr>
          <w:rFonts w:ascii="Arial" w:eastAsia="Times New Roman" w:hAnsi="Arial" w:cs="Arial"/>
          <w:bCs/>
          <w:sz w:val="24"/>
          <w:szCs w:val="24"/>
          <w:lang w:val="es-ES" w:eastAsia="es-ES"/>
        </w:rPr>
        <w:t xml:space="preserve">, el </w:t>
      </w:r>
      <w:proofErr w:type="gramStart"/>
      <w:r w:rsidRPr="002E074E">
        <w:rPr>
          <w:rFonts w:ascii="Arial" w:eastAsia="Times New Roman" w:hAnsi="Arial" w:cs="Arial"/>
          <w:bCs/>
          <w:sz w:val="24"/>
          <w:szCs w:val="24"/>
          <w:lang w:val="es-ES" w:eastAsia="es-ES"/>
        </w:rPr>
        <w:t>Ministro</w:t>
      </w:r>
      <w:proofErr w:type="gramEnd"/>
      <w:r w:rsidRPr="002E074E">
        <w:rPr>
          <w:rFonts w:ascii="Arial" w:eastAsia="Times New Roman" w:hAnsi="Arial" w:cs="Arial"/>
          <w:bCs/>
          <w:sz w:val="24"/>
          <w:szCs w:val="24"/>
          <w:lang w:val="es-ES" w:eastAsia="es-ES"/>
        </w:rPr>
        <w:t xml:space="preserve"> instructor podrá desechar de plano la demanda de controversia constitucional si de su lectura y sus anexos advierte un motivo manifiesto e indudable de improcedencia, de modo que la fase probatoria y la contestación no puedan desvirtuarlo. En este tenor, y toda vez que el Tribunal Pleno de la Suprema Corte de Justicia de la Nación ha establecido que la controversia constitucional no es la vía idónea para impugnar resoluciones jurisdiccionales o de carácter análogo, salvo que exista un problema de invasión de esferas, si del escrito inicial de demanda se advierte que se controvierte una resolución dictada por un órgano estatal especializado en materia de acceso a la información pública, únicamente por motivos de mera legalidad, como que la orden de entrega de información no se ajustó a la ley de la materia y/o la forma en que se llevó a cabo el procedimiento administrativo respectivo, como si se tratara de un recurso o medio ulterior de defensa, es evidente que se actualiza un motivo manifiesto e indudable de improcedencia que lleva a desechar de plano la demanda.</w:t>
      </w:r>
    </w:p>
    <w:p w14:paraId="634D851A"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p>
    <w:p w14:paraId="2FF81156" w14:textId="77777777" w:rsidR="00E85802" w:rsidRDefault="00E85802" w:rsidP="00E85802">
      <w:pPr>
        <w:spacing w:after="0" w:line="240" w:lineRule="auto"/>
        <w:jc w:val="both"/>
        <w:textAlignment w:val="baseline"/>
        <w:rPr>
          <w:rFonts w:ascii="Arial" w:eastAsia="Times New Roman" w:hAnsi="Arial" w:cs="Arial"/>
          <w:sz w:val="24"/>
          <w:szCs w:val="24"/>
          <w:lang w:eastAsia="es-MX"/>
        </w:rPr>
      </w:pPr>
      <w:r w:rsidRPr="002E074E">
        <w:rPr>
          <w:rFonts w:ascii="Arial" w:eastAsia="Times New Roman" w:hAnsi="Arial" w:cs="Arial"/>
          <w:sz w:val="24"/>
          <w:szCs w:val="24"/>
          <w:lang w:eastAsia="es-MX"/>
        </w:rPr>
        <w:t>Recurso de reclamación 1/2010-CA, derivado de la controversia constitucional 108/2009. Poder Judicial del Estado de Nayarit. 24 de enero de 2012. Mayoría de ocho votos; votaron en contra: Sergio Salvador Aguirre Anguiano y Luis María Aguilar Morales. Ausente: Juan N. Silva Meza. Ponente: Sergio A. Valls Hernández. Secretaria: Laura García Velasco.</w:t>
      </w:r>
    </w:p>
    <w:p w14:paraId="5ABDD061" w14:textId="77777777" w:rsidR="00E85802" w:rsidRPr="002E074E" w:rsidRDefault="00E85802" w:rsidP="00E85802">
      <w:pPr>
        <w:spacing w:after="0" w:line="240" w:lineRule="auto"/>
        <w:jc w:val="both"/>
        <w:textAlignment w:val="baseline"/>
        <w:rPr>
          <w:rFonts w:ascii="Arial" w:eastAsia="Times New Roman" w:hAnsi="Arial" w:cs="Arial"/>
          <w:sz w:val="24"/>
          <w:szCs w:val="24"/>
          <w:lang w:eastAsia="es-MX"/>
        </w:rPr>
      </w:pPr>
    </w:p>
    <w:p w14:paraId="3EF005A9"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tres de mayo en curso, aprobó, con el número 6/2012 (10a.), la tesis jurisprudencial que antecede. México, Distrito Federal, a tres de mayo de dos mil doce.</w:t>
      </w:r>
    </w:p>
    <w:p w14:paraId="1915F7DE"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7AD2C075"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4.- </w:t>
      </w:r>
      <w:r w:rsidRPr="002E074E">
        <w:rPr>
          <w:rFonts w:ascii="Arial" w:eastAsia="Times New Roman" w:hAnsi="Arial" w:cs="Arial"/>
          <w:bCs/>
          <w:sz w:val="24"/>
          <w:szCs w:val="24"/>
          <w:shd w:val="clear" w:color="auto" w:fill="FFFFFF"/>
          <w:lang w:val="es-ES" w:eastAsia="es-ES"/>
        </w:rPr>
        <w:t>El Sistema Nacional de Transparencia estará integrado por el Instituto Nacional de Transparencia y Acceso a la Información; los organismos garantes de las entidades federativas; la Auditoría Superior de la Federación; el Archivo General de la Nación; y el Instituto Nacional de Estadística y Geografía.</w:t>
      </w:r>
    </w:p>
    <w:p w14:paraId="022E4D48"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Que a su vez forman parte del Sistema Nacional y Estatales para el combate de la corrupción.</w:t>
      </w:r>
    </w:p>
    <w:p w14:paraId="45577189" w14:textId="77777777" w:rsidR="00E85802" w:rsidRDefault="00E85802" w:rsidP="00E85802">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14:paraId="46AB7F52"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5.- </w:t>
      </w:r>
      <w:r w:rsidRPr="002E074E">
        <w:rPr>
          <w:rFonts w:ascii="Arial" w:eastAsia="Times New Roman" w:hAnsi="Arial" w:cs="Arial"/>
          <w:bCs/>
          <w:sz w:val="24"/>
          <w:szCs w:val="24"/>
          <w:shd w:val="clear" w:color="auto" w:fill="FFFFFF"/>
          <w:lang w:val="es-ES" w:eastAsia="es-ES"/>
        </w:rPr>
        <w:t>El</w:t>
      </w:r>
      <w:r w:rsidRPr="002E074E">
        <w:rPr>
          <w:rFonts w:ascii="Arial" w:eastAsia="Times New Roman" w:hAnsi="Arial" w:cs="Arial"/>
          <w:bCs/>
          <w:sz w:val="24"/>
          <w:szCs w:val="24"/>
          <w:bdr w:val="none" w:sz="0" w:space="0" w:color="auto" w:frame="1"/>
          <w:shd w:val="clear" w:color="auto" w:fill="FFFFFF"/>
          <w:lang w:val="es-ES" w:eastAsia="es-ES"/>
        </w:rPr>
        <w:t xml:space="preserve"> INAI encabezará y coordinará el Sistema Nacional de Transparencia.</w:t>
      </w:r>
      <w:r w:rsidRPr="002E074E">
        <w:rPr>
          <w:rFonts w:ascii="Arial" w:eastAsia="Times New Roman" w:hAnsi="Arial" w:cs="Arial"/>
          <w:bCs/>
          <w:sz w:val="24"/>
          <w:szCs w:val="24"/>
          <w:shd w:val="clear" w:color="auto" w:fill="FFFFFF"/>
          <w:lang w:val="es-ES" w:eastAsia="es-ES"/>
        </w:rPr>
        <w:t xml:space="preserve"> Conocerá y resolverá, de oficio o a petición de los organismos </w:t>
      </w:r>
      <w:r w:rsidRPr="002E074E">
        <w:rPr>
          <w:rFonts w:ascii="Arial" w:eastAsia="Times New Roman" w:hAnsi="Arial" w:cs="Arial"/>
          <w:bCs/>
          <w:sz w:val="24"/>
          <w:szCs w:val="24"/>
          <w:shd w:val="clear" w:color="auto" w:fill="FFFFFF"/>
          <w:lang w:val="es-ES" w:eastAsia="es-ES"/>
        </w:rPr>
        <w:lastRenderedPageBreak/>
        <w:t>garantes de las entidades federativas, los recursos de revisión que por su interés o trascendencia así lo ameriten.</w:t>
      </w:r>
    </w:p>
    <w:p w14:paraId="3C404282"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08444747"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Aunque no exista una petición, el INAI tiene facultades para revisar si los organismos locales actuaron conforme a la Ley.</w:t>
      </w:r>
    </w:p>
    <w:p w14:paraId="3E6F1E4C"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p>
    <w:tbl>
      <w:tblPr>
        <w:tblW w:w="0" w:type="auto"/>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607"/>
        <w:gridCol w:w="2959"/>
        <w:gridCol w:w="1166"/>
        <w:gridCol w:w="3090"/>
      </w:tblGrid>
      <w:tr w:rsidR="00E85802" w:rsidRPr="002E074E" w14:paraId="1A2660B7" w14:textId="77777777" w:rsidTr="00971782">
        <w:tc>
          <w:tcPr>
            <w:tcW w:w="0" w:type="auto"/>
            <w:tcBorders>
              <w:top w:val="single" w:sz="6" w:space="0" w:color="A0A0A0"/>
              <w:left w:val="single" w:sz="6" w:space="0" w:color="A0A0A0"/>
              <w:bottom w:val="single" w:sz="6" w:space="0" w:color="A0A0A0"/>
              <w:right w:val="single" w:sz="6" w:space="0" w:color="A0A0A0"/>
            </w:tcBorders>
            <w:vAlign w:val="bottom"/>
            <w:hideMark/>
          </w:tcPr>
          <w:p w14:paraId="47EA2998"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Tesis: P./J. 45/2007</w:t>
            </w:r>
          </w:p>
        </w:tc>
        <w:tc>
          <w:tcPr>
            <w:tcW w:w="0" w:type="auto"/>
            <w:tcBorders>
              <w:top w:val="single" w:sz="6" w:space="0" w:color="A0A0A0"/>
              <w:left w:val="single" w:sz="6" w:space="0" w:color="A0A0A0"/>
              <w:bottom w:val="single" w:sz="6" w:space="0" w:color="A0A0A0"/>
              <w:right w:val="single" w:sz="6" w:space="0" w:color="A0A0A0"/>
            </w:tcBorders>
            <w:vAlign w:val="bottom"/>
            <w:hideMark/>
          </w:tcPr>
          <w:p w14:paraId="7D4A79D7"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Semanario Judicial de la Federación y su Gaceta</w:t>
            </w:r>
          </w:p>
        </w:tc>
        <w:tc>
          <w:tcPr>
            <w:tcW w:w="0" w:type="auto"/>
            <w:tcBorders>
              <w:top w:val="single" w:sz="6" w:space="0" w:color="A0A0A0"/>
              <w:left w:val="single" w:sz="6" w:space="0" w:color="A0A0A0"/>
              <w:bottom w:val="single" w:sz="6" w:space="0" w:color="A0A0A0"/>
              <w:right w:val="single" w:sz="6" w:space="0" w:color="A0A0A0"/>
            </w:tcBorders>
            <w:vAlign w:val="bottom"/>
            <w:hideMark/>
          </w:tcPr>
          <w:p w14:paraId="2D313434"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Novena Época</w:t>
            </w:r>
          </w:p>
        </w:tc>
        <w:tc>
          <w:tcPr>
            <w:tcW w:w="0" w:type="auto"/>
            <w:tcBorders>
              <w:top w:val="single" w:sz="6" w:space="0" w:color="A0A0A0"/>
              <w:left w:val="single" w:sz="6" w:space="0" w:color="A0A0A0"/>
              <w:bottom w:val="single" w:sz="6" w:space="0" w:color="A0A0A0"/>
              <w:right w:val="single" w:sz="6" w:space="0" w:color="A0A0A0"/>
            </w:tcBorders>
            <w:vAlign w:val="bottom"/>
            <w:hideMark/>
          </w:tcPr>
          <w:p w14:paraId="53AC758C"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170722</w:t>
            </w:r>
            <w:r w:rsidRPr="002E074E">
              <w:rPr>
                <w:rFonts w:ascii="Arial" w:eastAsia="Times New Roman" w:hAnsi="Arial" w:cs="Arial"/>
                <w:bCs/>
                <w:sz w:val="24"/>
                <w:szCs w:val="24"/>
                <w:lang w:val="es-ES" w:eastAsia="es-ES"/>
              </w:rPr>
              <w:t>        </w:t>
            </w:r>
            <w:r w:rsidRPr="002E074E">
              <w:rPr>
                <w:rFonts w:ascii="Arial" w:eastAsia="Times New Roman" w:hAnsi="Arial" w:cs="Arial"/>
                <w:bCs/>
                <w:sz w:val="24"/>
                <w:szCs w:val="24"/>
                <w:bdr w:val="none" w:sz="0" w:space="0" w:color="auto" w:frame="1"/>
                <w:lang w:val="es-ES" w:eastAsia="es-ES"/>
              </w:rPr>
              <w:t>66 de 74</w:t>
            </w:r>
          </w:p>
        </w:tc>
      </w:tr>
      <w:tr w:rsidR="00E85802" w:rsidRPr="002E074E" w14:paraId="7F2E0AD5" w14:textId="77777777" w:rsidTr="00971782">
        <w:tc>
          <w:tcPr>
            <w:tcW w:w="0" w:type="auto"/>
            <w:tcBorders>
              <w:top w:val="single" w:sz="6" w:space="0" w:color="A0A0A0"/>
              <w:left w:val="single" w:sz="6" w:space="0" w:color="A0A0A0"/>
              <w:bottom w:val="single" w:sz="6" w:space="0" w:color="A0A0A0"/>
              <w:right w:val="single" w:sz="6" w:space="0" w:color="A0A0A0"/>
            </w:tcBorders>
            <w:vAlign w:val="bottom"/>
            <w:hideMark/>
          </w:tcPr>
          <w:p w14:paraId="4D5912B0"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Pleno</w:t>
            </w:r>
          </w:p>
        </w:tc>
        <w:tc>
          <w:tcPr>
            <w:tcW w:w="0" w:type="auto"/>
            <w:tcBorders>
              <w:top w:val="single" w:sz="6" w:space="0" w:color="A0A0A0"/>
              <w:left w:val="single" w:sz="6" w:space="0" w:color="A0A0A0"/>
              <w:bottom w:val="single" w:sz="6" w:space="0" w:color="A0A0A0"/>
              <w:right w:val="single" w:sz="6" w:space="0" w:color="A0A0A0"/>
            </w:tcBorders>
            <w:vAlign w:val="bottom"/>
            <w:hideMark/>
          </w:tcPr>
          <w:p w14:paraId="6D2ECB58"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 xml:space="preserve">Tomo XXVI, </w:t>
            </w:r>
            <w:proofErr w:type="gramStart"/>
            <w:r w:rsidRPr="002E074E">
              <w:rPr>
                <w:rFonts w:ascii="Arial" w:eastAsia="Times New Roman" w:hAnsi="Arial" w:cs="Arial"/>
                <w:bCs/>
                <w:sz w:val="24"/>
                <w:szCs w:val="24"/>
                <w:bdr w:val="none" w:sz="0" w:space="0" w:color="auto" w:frame="1"/>
                <w:lang w:val="es-ES" w:eastAsia="es-ES"/>
              </w:rPr>
              <w:t>Diciembre</w:t>
            </w:r>
            <w:proofErr w:type="gramEnd"/>
            <w:r w:rsidRPr="002E074E">
              <w:rPr>
                <w:rFonts w:ascii="Arial" w:eastAsia="Times New Roman" w:hAnsi="Arial" w:cs="Arial"/>
                <w:bCs/>
                <w:sz w:val="24"/>
                <w:szCs w:val="24"/>
                <w:bdr w:val="none" w:sz="0" w:space="0" w:color="auto" w:frame="1"/>
                <w:lang w:val="es-ES" w:eastAsia="es-ES"/>
              </w:rPr>
              <w:t xml:space="preserve"> de 2007</w:t>
            </w:r>
          </w:p>
        </w:tc>
        <w:tc>
          <w:tcPr>
            <w:tcW w:w="0" w:type="auto"/>
            <w:tcBorders>
              <w:top w:val="single" w:sz="6" w:space="0" w:color="A0A0A0"/>
              <w:left w:val="single" w:sz="6" w:space="0" w:color="A0A0A0"/>
              <w:bottom w:val="single" w:sz="6" w:space="0" w:color="A0A0A0"/>
              <w:right w:val="single" w:sz="6" w:space="0" w:color="A0A0A0"/>
            </w:tcBorders>
            <w:vAlign w:val="bottom"/>
            <w:hideMark/>
          </w:tcPr>
          <w:p w14:paraId="373BCDE7" w14:textId="77777777" w:rsidR="00E85802" w:rsidRPr="002E074E" w:rsidRDefault="00E85802" w:rsidP="00971782">
            <w:pPr>
              <w:spacing w:after="0" w:line="240" w:lineRule="auto"/>
              <w:rPr>
                <w:rFonts w:ascii="Arial" w:eastAsia="Times New Roman" w:hAnsi="Arial" w:cs="Arial"/>
                <w:bCs/>
                <w:sz w:val="24"/>
                <w:szCs w:val="24"/>
                <w:lang w:val="es-ES" w:eastAsia="es-ES"/>
              </w:rPr>
            </w:pPr>
            <w:proofErr w:type="spellStart"/>
            <w:r w:rsidRPr="002E074E">
              <w:rPr>
                <w:rFonts w:ascii="Arial" w:eastAsia="Times New Roman" w:hAnsi="Arial" w:cs="Arial"/>
                <w:bCs/>
                <w:sz w:val="24"/>
                <w:szCs w:val="24"/>
                <w:bdr w:val="none" w:sz="0" w:space="0" w:color="auto" w:frame="1"/>
                <w:lang w:val="es-ES" w:eastAsia="es-ES"/>
              </w:rPr>
              <w:t>Pag.</w:t>
            </w:r>
            <w:proofErr w:type="spellEnd"/>
            <w:r w:rsidRPr="002E074E">
              <w:rPr>
                <w:rFonts w:ascii="Arial" w:eastAsia="Times New Roman" w:hAnsi="Arial" w:cs="Arial"/>
                <w:bCs/>
                <w:sz w:val="24"/>
                <w:szCs w:val="24"/>
                <w:bdr w:val="none" w:sz="0" w:space="0" w:color="auto" w:frame="1"/>
                <w:lang w:val="es-ES" w:eastAsia="es-ES"/>
              </w:rPr>
              <w:t xml:space="preserve"> 991</w:t>
            </w:r>
          </w:p>
        </w:tc>
        <w:tc>
          <w:tcPr>
            <w:tcW w:w="0" w:type="auto"/>
            <w:tcBorders>
              <w:top w:val="single" w:sz="6" w:space="0" w:color="A0A0A0"/>
              <w:left w:val="single" w:sz="6" w:space="0" w:color="A0A0A0"/>
              <w:bottom w:val="single" w:sz="6" w:space="0" w:color="A0A0A0"/>
              <w:right w:val="single" w:sz="6" w:space="0" w:color="A0A0A0"/>
            </w:tcBorders>
            <w:vAlign w:val="bottom"/>
            <w:hideMark/>
          </w:tcPr>
          <w:p w14:paraId="0C56F628" w14:textId="77777777" w:rsidR="00E85802" w:rsidRPr="002E074E" w:rsidRDefault="00E85802" w:rsidP="00971782">
            <w:pPr>
              <w:spacing w:after="0" w:line="240" w:lineRule="auto"/>
              <w:rPr>
                <w:rFonts w:ascii="Arial" w:eastAsia="Times New Roman" w:hAnsi="Arial" w:cs="Arial"/>
                <w:bCs/>
                <w:sz w:val="24"/>
                <w:szCs w:val="24"/>
                <w:lang w:val="es-ES" w:eastAsia="es-ES"/>
              </w:rPr>
            </w:pPr>
            <w:r w:rsidRPr="002E074E">
              <w:rPr>
                <w:rFonts w:ascii="Arial" w:eastAsia="Times New Roman" w:hAnsi="Arial" w:cs="Arial"/>
                <w:bCs/>
                <w:sz w:val="24"/>
                <w:szCs w:val="24"/>
                <w:bdr w:val="none" w:sz="0" w:space="0" w:color="auto" w:frame="1"/>
                <w:lang w:val="es-ES" w:eastAsia="es-ES"/>
              </w:rPr>
              <w:t>Jurisprudencia (Constitucional, Administrativa)</w:t>
            </w:r>
          </w:p>
        </w:tc>
      </w:tr>
    </w:tbl>
    <w:p w14:paraId="24629753"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75540E0F" w14:textId="77777777" w:rsidR="00E85802" w:rsidRPr="002E074E" w:rsidRDefault="00E85802" w:rsidP="00E85802">
      <w:pPr>
        <w:spacing w:after="0" w:line="240" w:lineRule="auto"/>
        <w:jc w:val="both"/>
        <w:textAlignment w:val="baseline"/>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INFORMACIÓN RESERVADA. EXCEPCIÓN A LA PROHIBICIÓN DE SU DIVULGACIÓN.</w:t>
      </w:r>
    </w:p>
    <w:p w14:paraId="34AC5D85"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p>
    <w:p w14:paraId="538C8BC2" w14:textId="77777777" w:rsidR="00E85802" w:rsidRDefault="00E85802" w:rsidP="00E85802">
      <w:pPr>
        <w:spacing w:after="0" w:line="240" w:lineRule="auto"/>
        <w:jc w:val="both"/>
        <w:textAlignment w:val="baseline"/>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términos de las </w:t>
      </w:r>
      <w:hyperlink r:id="rId14" w:history="1">
        <w:r w:rsidRPr="002E074E">
          <w:rPr>
            <w:rFonts w:ascii="Arial" w:eastAsia="Times New Roman" w:hAnsi="Arial" w:cs="Arial"/>
            <w:bCs/>
            <w:sz w:val="24"/>
            <w:szCs w:val="24"/>
            <w:bdr w:val="none" w:sz="0" w:space="0" w:color="auto" w:frame="1"/>
            <w:lang w:val="es-ES" w:eastAsia="es-ES"/>
          </w:rPr>
          <w:t>fracciones IV y VI del artículo 14 de la Ley Federal de Transparencia y Acceso a la Información Pública Gubernamental</w:t>
        </w:r>
      </w:hyperlink>
      <w:r w:rsidRPr="002E074E">
        <w:rPr>
          <w:rFonts w:ascii="Arial" w:eastAsia="Times New Roman" w:hAnsi="Arial" w:cs="Arial"/>
          <w:bCs/>
          <w:sz w:val="24"/>
          <w:szCs w:val="24"/>
          <w:lang w:val="es-ES" w:eastAsia="es-ES"/>
        </w:rPr>
        <w:t>, tanto los expedientes judiciales que no hayan causado estado, como las opiniones, recomendaciones o puntos de vista que formen parte del proceso deliberativo de los servidores públicos, mientras no sea adoptada la decisión definitiva, constituyen información reservada. No obstante, la imposibilidad de acceder a dicha información no puede considerarse como una regla absoluta, porque en aquellos supuestos en los cuales su difusión producirá mayores beneficios para la sociedad que los daños que pudieran provocarse con su divulgación, debe hacerse una excepción a la regla general, privilegiando la transparencia y difusión de la información respectiva.</w:t>
      </w:r>
    </w:p>
    <w:p w14:paraId="51DA8684" w14:textId="77777777" w:rsidR="00E85802" w:rsidRPr="002E074E" w:rsidRDefault="00E85802" w:rsidP="00E85802">
      <w:pPr>
        <w:spacing w:after="0" w:line="240" w:lineRule="auto"/>
        <w:jc w:val="both"/>
        <w:textAlignment w:val="baseline"/>
        <w:rPr>
          <w:rFonts w:ascii="Arial" w:eastAsia="Times New Roman" w:hAnsi="Arial" w:cs="Arial"/>
          <w:bCs/>
          <w:sz w:val="24"/>
          <w:szCs w:val="24"/>
          <w:lang w:val="es-ES" w:eastAsia="es-ES"/>
        </w:rPr>
      </w:pPr>
    </w:p>
    <w:p w14:paraId="47674527" w14:textId="77777777" w:rsidR="00E85802" w:rsidRDefault="00E85802" w:rsidP="00E85802">
      <w:pPr>
        <w:spacing w:after="0" w:line="240" w:lineRule="auto"/>
        <w:jc w:val="both"/>
        <w:textAlignment w:val="baseline"/>
        <w:rPr>
          <w:rFonts w:ascii="Arial" w:eastAsia="Times New Roman" w:hAnsi="Arial" w:cs="Arial"/>
          <w:sz w:val="24"/>
          <w:szCs w:val="24"/>
          <w:lang w:eastAsia="es-MX"/>
        </w:rPr>
      </w:pPr>
      <w:r w:rsidRPr="002E074E">
        <w:rPr>
          <w:rFonts w:ascii="Arial" w:eastAsia="Times New Roman" w:hAnsi="Arial" w:cs="Arial"/>
          <w:sz w:val="24"/>
          <w:szCs w:val="24"/>
          <w:lang w:eastAsia="es-MX"/>
        </w:rPr>
        <w:t>Acción de inconstitucionalidad 26/2006. Senadores integrantes de la Quincuagésima Novena Legislatura del Congreso de la Unión. 7 de junio de 2007. Unanimidad de nueve votos. Ausente: José de Jesús Gudiño Pelayo. Impedido: José Ramón Cossío Díaz. Ponente: Sergio Salvador Aguirre Anguiano. Secretarias: Andrea Zambrana Castañeda, Lourdes Ferrer Mac-</w:t>
      </w:r>
      <w:proofErr w:type="spellStart"/>
      <w:r w:rsidRPr="002E074E">
        <w:rPr>
          <w:rFonts w:ascii="Arial" w:eastAsia="Times New Roman" w:hAnsi="Arial" w:cs="Arial"/>
          <w:sz w:val="24"/>
          <w:szCs w:val="24"/>
          <w:lang w:eastAsia="es-MX"/>
        </w:rPr>
        <w:t>GregorPoisot</w:t>
      </w:r>
      <w:proofErr w:type="spellEnd"/>
      <w:r w:rsidRPr="002E074E">
        <w:rPr>
          <w:rFonts w:ascii="Arial" w:eastAsia="Times New Roman" w:hAnsi="Arial" w:cs="Arial"/>
          <w:sz w:val="24"/>
          <w:szCs w:val="24"/>
          <w:lang w:eastAsia="es-MX"/>
        </w:rPr>
        <w:t xml:space="preserve"> y María Estela Ferrer Mac GregorPoisot.</w:t>
      </w:r>
    </w:p>
    <w:p w14:paraId="5FD4C2C8" w14:textId="77777777" w:rsidR="00E85802" w:rsidRPr="002E074E" w:rsidRDefault="00E85802" w:rsidP="00E85802">
      <w:pPr>
        <w:spacing w:after="0" w:line="240" w:lineRule="auto"/>
        <w:jc w:val="both"/>
        <w:textAlignment w:val="baseline"/>
        <w:rPr>
          <w:rFonts w:ascii="Arial" w:eastAsia="Times New Roman" w:hAnsi="Arial" w:cs="Arial"/>
          <w:sz w:val="24"/>
          <w:szCs w:val="24"/>
          <w:lang w:eastAsia="es-MX"/>
        </w:rPr>
      </w:pPr>
    </w:p>
    <w:p w14:paraId="004155CA"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Tribunal Pleno, el quince de octubre en curso, aprobó, con el número 45/2007, la tesis jurisprudencial que antecede. México, Distrito Federal, a quince de octubre de dos mil siete.</w:t>
      </w:r>
    </w:p>
    <w:p w14:paraId="366FAA09"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lastRenderedPageBreak/>
        <w:t xml:space="preserve">6.- </w:t>
      </w:r>
      <w:r w:rsidRPr="002E074E">
        <w:rPr>
          <w:rFonts w:ascii="Arial" w:eastAsia="Times New Roman" w:hAnsi="Arial" w:cs="Arial"/>
          <w:bCs/>
          <w:sz w:val="24"/>
          <w:szCs w:val="24"/>
          <w:shd w:val="clear" w:color="auto" w:fill="FFFFFF"/>
          <w:lang w:val="es-ES" w:eastAsia="es-ES"/>
        </w:rPr>
        <w:t>Se crea una </w:t>
      </w:r>
      <w:r w:rsidRPr="002E074E">
        <w:rPr>
          <w:rFonts w:ascii="Arial" w:eastAsia="Times New Roman" w:hAnsi="Arial" w:cs="Arial"/>
          <w:bCs/>
          <w:sz w:val="24"/>
          <w:szCs w:val="24"/>
          <w:bdr w:val="none" w:sz="0" w:space="0" w:color="auto" w:frame="1"/>
          <w:shd w:val="clear" w:color="auto" w:fill="FFFFFF"/>
          <w:lang w:val="es-ES" w:eastAsia="es-ES"/>
        </w:rPr>
        <w:t>Plataforma Nacional de Transparencia</w:t>
      </w:r>
      <w:r w:rsidRPr="002E074E">
        <w:rPr>
          <w:rFonts w:ascii="Arial" w:eastAsia="Times New Roman" w:hAnsi="Arial" w:cs="Arial"/>
          <w:bCs/>
          <w:sz w:val="24"/>
          <w:szCs w:val="24"/>
          <w:shd w:val="clear" w:color="auto" w:fill="FFFFFF"/>
          <w:lang w:val="es-ES" w:eastAsia="es-ES"/>
        </w:rPr>
        <w:t> que permita cumplir con los procedimientos y obligaciones de los sujetos obligados, atendiendo las necesidades de accesibilidad de los usuarios.</w:t>
      </w:r>
    </w:p>
    <w:p w14:paraId="74DAD99B"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0ADB144F"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Se sustituyen los sistemas electrónicos estatales que se implementaron para solicitar información, por una sola plataforma nacional, con el propósito de que el INAI tenga el control sobre lo que piden los ciudadanos.</w:t>
      </w:r>
    </w:p>
    <w:p w14:paraId="11A6DE10"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49A1CA9A"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7.- </w:t>
      </w:r>
      <w:r w:rsidRPr="002E074E">
        <w:rPr>
          <w:rFonts w:ascii="Arial" w:eastAsia="Times New Roman" w:hAnsi="Arial" w:cs="Arial"/>
          <w:bCs/>
          <w:sz w:val="24"/>
          <w:szCs w:val="24"/>
          <w:shd w:val="clear" w:color="auto" w:fill="FFFFFF"/>
          <w:lang w:val="es-ES" w:eastAsia="es-ES"/>
        </w:rPr>
        <w:t>El Sistema Nacional establece </w:t>
      </w:r>
      <w:r w:rsidRPr="002E074E">
        <w:rPr>
          <w:rFonts w:ascii="Arial" w:eastAsia="Times New Roman" w:hAnsi="Arial" w:cs="Arial"/>
          <w:bCs/>
          <w:sz w:val="24"/>
          <w:szCs w:val="24"/>
          <w:bdr w:val="none" w:sz="0" w:space="0" w:color="auto" w:frame="1"/>
          <w:shd w:val="clear" w:color="auto" w:fill="FFFFFF"/>
          <w:lang w:val="es-ES" w:eastAsia="es-ES"/>
        </w:rPr>
        <w:t>50 obligaciones de transparencia comunes para todos los sujetos obligados</w:t>
      </w:r>
      <w:r w:rsidRPr="002E074E">
        <w:rPr>
          <w:rFonts w:ascii="Arial" w:eastAsia="Times New Roman" w:hAnsi="Arial" w:cs="Arial"/>
          <w:bCs/>
          <w:sz w:val="24"/>
          <w:szCs w:val="24"/>
          <w:shd w:val="clear" w:color="auto" w:fill="FFFFFF"/>
          <w:lang w:val="es-ES" w:eastAsia="es-ES"/>
        </w:rPr>
        <w:t>, a fin de que sean contempladas en la ley federal y en las leyes de las entidades federativas.</w:t>
      </w:r>
    </w:p>
    <w:p w14:paraId="5EE65806"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45CBD577"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 xml:space="preserve">Actualmente la Ley de Información Pública local incluye cuarenta y </w:t>
      </w:r>
      <w:proofErr w:type="gramStart"/>
      <w:r w:rsidRPr="002E074E">
        <w:rPr>
          <w:rFonts w:ascii="Arial" w:eastAsia="Times New Roman" w:hAnsi="Arial" w:cs="Arial"/>
          <w:bCs/>
          <w:sz w:val="24"/>
          <w:szCs w:val="24"/>
          <w:shd w:val="clear" w:color="auto" w:fill="FFFFFF"/>
          <w:lang w:val="es-ES" w:eastAsia="es-ES"/>
        </w:rPr>
        <w:t>un obligaciones</w:t>
      </w:r>
      <w:proofErr w:type="gramEnd"/>
      <w:r w:rsidRPr="002E074E">
        <w:rPr>
          <w:rFonts w:ascii="Arial" w:eastAsia="Times New Roman" w:hAnsi="Arial" w:cs="Arial"/>
          <w:bCs/>
          <w:sz w:val="24"/>
          <w:szCs w:val="24"/>
          <w:shd w:val="clear" w:color="auto" w:fill="FFFFFF"/>
          <w:lang w:val="es-ES" w:eastAsia="es-ES"/>
        </w:rPr>
        <w:t>, algunas de ellas repetidas, por lo que resulta imperioso ajustar la normativa estatal.</w:t>
      </w:r>
    </w:p>
    <w:p w14:paraId="37C916AA" w14:textId="77777777" w:rsidR="00E85802" w:rsidRDefault="00E85802" w:rsidP="00E85802">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14:paraId="387748D5"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8.- </w:t>
      </w:r>
      <w:r w:rsidRPr="002E074E">
        <w:rPr>
          <w:rFonts w:ascii="Arial" w:eastAsia="Times New Roman" w:hAnsi="Arial" w:cs="Arial"/>
          <w:bCs/>
          <w:sz w:val="24"/>
          <w:szCs w:val="24"/>
          <w:shd w:val="clear" w:color="auto" w:fill="FFFFFF"/>
          <w:lang w:val="es-ES" w:eastAsia="es-ES"/>
        </w:rPr>
        <w:t xml:space="preserve">Regula, además, los </w:t>
      </w:r>
      <w:r w:rsidRPr="002E074E">
        <w:rPr>
          <w:rFonts w:ascii="Arial" w:eastAsia="Times New Roman" w:hAnsi="Arial" w:cs="Arial"/>
          <w:bCs/>
          <w:sz w:val="24"/>
          <w:szCs w:val="24"/>
          <w:bdr w:val="none" w:sz="0" w:space="0" w:color="auto" w:frame="1"/>
          <w:shd w:val="clear" w:color="auto" w:fill="FFFFFF"/>
          <w:lang w:val="es-ES" w:eastAsia="es-ES"/>
        </w:rPr>
        <w:t>medios de impugnación</w:t>
      </w:r>
      <w:r w:rsidRPr="002E074E">
        <w:rPr>
          <w:rFonts w:ascii="Arial" w:eastAsia="Times New Roman" w:hAnsi="Arial" w:cs="Arial"/>
          <w:bCs/>
          <w:sz w:val="24"/>
          <w:szCs w:val="24"/>
          <w:shd w:val="clear" w:color="auto" w:fill="FFFFFF"/>
          <w:lang w:val="es-ES" w:eastAsia="es-ES"/>
        </w:rPr>
        <w:t>, la organización, funcionamiento y coordinación del Sistema Nacional de Transparencia, Acceso a la Información y Protección de Datos Personales.</w:t>
      </w:r>
    </w:p>
    <w:p w14:paraId="5331DB62" w14:textId="77777777" w:rsidR="00E85802" w:rsidRDefault="00E85802" w:rsidP="00E85802">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14:paraId="3ABA2DCC"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9.- </w:t>
      </w:r>
      <w:r w:rsidRPr="002E074E">
        <w:rPr>
          <w:rFonts w:ascii="Arial" w:eastAsia="Times New Roman" w:hAnsi="Arial" w:cs="Arial"/>
          <w:bCs/>
          <w:sz w:val="24"/>
          <w:szCs w:val="24"/>
          <w:shd w:val="clear" w:color="auto" w:fill="FFFFFF"/>
          <w:lang w:val="es-ES" w:eastAsia="es-ES"/>
        </w:rPr>
        <w:t xml:space="preserve">En materia de </w:t>
      </w:r>
      <w:r w:rsidRPr="002E074E">
        <w:rPr>
          <w:rFonts w:ascii="Arial" w:eastAsia="Times New Roman" w:hAnsi="Arial" w:cs="Arial"/>
          <w:bCs/>
          <w:sz w:val="24"/>
          <w:szCs w:val="24"/>
          <w:bdr w:val="none" w:sz="0" w:space="0" w:color="auto" w:frame="1"/>
          <w:shd w:val="clear" w:color="auto" w:fill="FFFFFF"/>
          <w:lang w:val="es-ES" w:eastAsia="es-ES"/>
        </w:rPr>
        <w:t xml:space="preserve">sanciones </w:t>
      </w:r>
      <w:r w:rsidRPr="002E074E">
        <w:rPr>
          <w:rFonts w:ascii="Arial" w:eastAsia="Times New Roman" w:hAnsi="Arial" w:cs="Arial"/>
          <w:bCs/>
          <w:sz w:val="24"/>
          <w:szCs w:val="24"/>
          <w:shd w:val="clear" w:color="auto" w:fill="FFFFFF"/>
          <w:lang w:val="es-ES" w:eastAsia="es-ES"/>
        </w:rPr>
        <w:t>se establecen las siguientes: falta de respuesta a las solicitudes de información; actuar con negligencia, dolo o mala fe durante la sustanciación de las solicitudes; incumplir los plazos de atención; usar, sustraer, divulgar, ocultar, alterar o inutilizar la información que se encuentre bajo custodia de los sujetos obligados.</w:t>
      </w:r>
    </w:p>
    <w:p w14:paraId="137BB3DE" w14:textId="77777777" w:rsidR="00E85802" w:rsidRDefault="00E85802" w:rsidP="00E85802">
      <w:pPr>
        <w:spacing w:after="0" w:line="240" w:lineRule="auto"/>
        <w:jc w:val="both"/>
        <w:rPr>
          <w:rFonts w:ascii="Arial" w:eastAsia="Times New Roman" w:hAnsi="Arial" w:cs="Arial"/>
          <w:bCs/>
          <w:sz w:val="24"/>
          <w:szCs w:val="24"/>
          <w:bdr w:val="none" w:sz="0" w:space="0" w:color="auto" w:frame="1"/>
          <w:shd w:val="clear" w:color="auto" w:fill="FFFFFF"/>
          <w:lang w:val="es-ES" w:eastAsia="es-ES"/>
        </w:rPr>
      </w:pPr>
    </w:p>
    <w:p w14:paraId="0BB00D70"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bdr w:val="none" w:sz="0" w:space="0" w:color="auto" w:frame="1"/>
          <w:shd w:val="clear" w:color="auto" w:fill="FFFFFF"/>
          <w:lang w:val="es-ES" w:eastAsia="es-ES"/>
        </w:rPr>
        <w:t xml:space="preserve">10.- </w:t>
      </w:r>
      <w:r w:rsidRPr="002E074E">
        <w:rPr>
          <w:rFonts w:ascii="Arial" w:eastAsia="Times New Roman" w:hAnsi="Arial" w:cs="Arial"/>
          <w:bCs/>
          <w:sz w:val="24"/>
          <w:szCs w:val="24"/>
          <w:shd w:val="clear" w:color="auto" w:fill="FFFFFF"/>
          <w:lang w:val="es-ES" w:eastAsia="es-ES"/>
        </w:rPr>
        <w:t xml:space="preserve">En caso de que se incumplan las obligaciones de transparencia, se establece que las conductas </w:t>
      </w:r>
      <w:r w:rsidRPr="002E074E">
        <w:rPr>
          <w:rFonts w:ascii="Arial" w:eastAsia="Times New Roman" w:hAnsi="Arial" w:cs="Arial"/>
          <w:bCs/>
          <w:sz w:val="24"/>
          <w:szCs w:val="24"/>
          <w:bdr w:val="none" w:sz="0" w:space="0" w:color="auto" w:frame="1"/>
          <w:shd w:val="clear" w:color="auto" w:fill="FFFFFF"/>
          <w:lang w:val="es-ES" w:eastAsia="es-ES"/>
        </w:rPr>
        <w:t>sean sancionadas por los organismos garantes</w:t>
      </w:r>
      <w:r w:rsidRPr="002E074E">
        <w:rPr>
          <w:rFonts w:ascii="Arial" w:eastAsia="Times New Roman" w:hAnsi="Arial" w:cs="Arial"/>
          <w:bCs/>
          <w:sz w:val="24"/>
          <w:szCs w:val="24"/>
          <w:shd w:val="clear" w:color="auto" w:fill="FFFFFF"/>
          <w:lang w:val="es-ES" w:eastAsia="es-ES"/>
        </w:rPr>
        <w:t xml:space="preserve"> y que se dé vista a la autoridad competente para que apliquen la sanción que corresponda.</w:t>
      </w:r>
    </w:p>
    <w:p w14:paraId="7C004798"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w w:val="90"/>
          <w:sz w:val="24"/>
          <w:szCs w:val="24"/>
          <w:shd w:val="clear" w:color="auto" w:fill="FFFFFF"/>
          <w:lang w:val="es-ES" w:eastAsia="es-ES"/>
        </w:rPr>
        <w:t>Se establece claramente que</w:t>
      </w:r>
      <w:r w:rsidRPr="002E074E">
        <w:rPr>
          <w:rFonts w:ascii="Arial" w:eastAsia="Times New Roman" w:hAnsi="Arial" w:cs="Arial"/>
          <w:bCs/>
          <w:sz w:val="24"/>
          <w:szCs w:val="24"/>
          <w:shd w:val="clear" w:color="auto" w:fill="FFFFFF"/>
          <w:lang w:val="es-ES" w:eastAsia="es-ES"/>
        </w:rPr>
        <w:t>, independientemente de las sanciones que impongan los organismos garantes nacional y locales, además se dará vista a los órganos de control correspondientes para que también apliquen las que consideren procedentes.</w:t>
      </w:r>
    </w:p>
    <w:p w14:paraId="31C77E1E" w14:textId="77777777" w:rsidR="00E85802" w:rsidRDefault="00E85802" w:rsidP="00E85802">
      <w:pPr>
        <w:spacing w:after="0" w:line="240" w:lineRule="auto"/>
        <w:jc w:val="both"/>
        <w:rPr>
          <w:rFonts w:ascii="Arial" w:eastAsia="Times New Roman" w:hAnsi="Arial" w:cs="Arial"/>
          <w:bCs/>
          <w:sz w:val="24"/>
          <w:szCs w:val="24"/>
          <w:shd w:val="clear" w:color="auto" w:fill="FFFFFF"/>
          <w:lang w:val="es-ES" w:eastAsia="es-ES"/>
        </w:rPr>
      </w:pPr>
    </w:p>
    <w:p w14:paraId="4D3E0DF4" w14:textId="77777777" w:rsidR="00E85802" w:rsidRPr="002E074E" w:rsidRDefault="00E85802" w:rsidP="00E85802">
      <w:pPr>
        <w:spacing w:after="0" w:line="240" w:lineRule="auto"/>
        <w:jc w:val="both"/>
        <w:rPr>
          <w:rFonts w:ascii="Arial" w:eastAsia="Times New Roman" w:hAnsi="Arial" w:cs="Arial"/>
          <w:bCs/>
          <w:sz w:val="24"/>
          <w:szCs w:val="24"/>
          <w:shd w:val="clear" w:color="auto" w:fill="FFFFFF"/>
          <w:lang w:val="es-ES" w:eastAsia="es-ES"/>
        </w:rPr>
      </w:pPr>
      <w:r w:rsidRPr="002E074E">
        <w:rPr>
          <w:rFonts w:ascii="Arial" w:eastAsia="Times New Roman" w:hAnsi="Arial" w:cs="Arial"/>
          <w:bCs/>
          <w:sz w:val="24"/>
          <w:szCs w:val="24"/>
          <w:shd w:val="clear" w:color="auto" w:fill="FFFFFF"/>
          <w:lang w:val="es-ES" w:eastAsia="es-ES"/>
        </w:rPr>
        <w:t>Así pues, la referida Ley General de Transparencia y Acceso a la Información Pública en sus artículos transitorios estableció, entre otras cosas, lo siguiente:</w:t>
      </w:r>
    </w:p>
    <w:p w14:paraId="60AA274D" w14:textId="77777777" w:rsidR="00E85802" w:rsidRDefault="00E85802" w:rsidP="00E85802">
      <w:pPr>
        <w:spacing w:after="0" w:line="240" w:lineRule="auto"/>
        <w:jc w:val="both"/>
        <w:rPr>
          <w:rFonts w:ascii="Arial" w:eastAsia="Times New Roman" w:hAnsi="Arial" w:cs="Arial"/>
          <w:sz w:val="24"/>
          <w:szCs w:val="24"/>
          <w:lang w:eastAsia="es-ES"/>
        </w:rPr>
      </w:pPr>
    </w:p>
    <w:p w14:paraId="7AB290C2" w14:textId="77777777" w:rsidR="00E85802" w:rsidRPr="002E074E" w:rsidRDefault="00E85802" w:rsidP="00E85802">
      <w:pPr>
        <w:spacing w:after="0" w:line="240" w:lineRule="auto"/>
        <w:jc w:val="both"/>
        <w:rPr>
          <w:rFonts w:ascii="Arial" w:eastAsia="Times New Roman" w:hAnsi="Arial" w:cs="Arial"/>
          <w:sz w:val="24"/>
          <w:szCs w:val="24"/>
          <w:lang w:eastAsia="es-ES"/>
        </w:rPr>
      </w:pPr>
      <w:r w:rsidRPr="002E074E">
        <w:rPr>
          <w:rFonts w:ascii="Arial" w:eastAsia="Times New Roman" w:hAnsi="Arial" w:cs="Arial"/>
          <w:sz w:val="24"/>
          <w:szCs w:val="24"/>
          <w:lang w:eastAsia="es-ES"/>
        </w:rPr>
        <w:lastRenderedPageBreak/>
        <w:t>“Quinto. El Congreso de la Unión, las legislaturas de los Estados y la Asamblea Legislativa del Distrito Federal, tendrán un plazo de hasta un año, contado a partir de la entrada en vigor del presente Decreto, para armonizar las leyes relativas, conforme a lo establecido en esta Ley. Transcurrido dicho plazo, el Instituto será competente para conocer de los medios de impugnación que se presenten de conformidad con la presente Ley.”</w:t>
      </w:r>
    </w:p>
    <w:p w14:paraId="2F684FE0" w14:textId="77777777" w:rsidR="00E85802" w:rsidRDefault="00E85802" w:rsidP="00E85802">
      <w:pPr>
        <w:spacing w:after="0" w:line="240" w:lineRule="auto"/>
        <w:jc w:val="both"/>
        <w:rPr>
          <w:rFonts w:ascii="Arial" w:eastAsia="Times New Roman" w:hAnsi="Arial" w:cs="Arial"/>
          <w:sz w:val="24"/>
          <w:szCs w:val="24"/>
          <w:lang w:eastAsia="es-ES"/>
        </w:rPr>
      </w:pPr>
    </w:p>
    <w:p w14:paraId="4FCCFF58" w14:textId="77777777" w:rsidR="00E85802" w:rsidRPr="002E074E" w:rsidRDefault="00E85802" w:rsidP="00E85802">
      <w:pPr>
        <w:spacing w:after="0" w:line="240" w:lineRule="auto"/>
        <w:jc w:val="both"/>
        <w:rPr>
          <w:rFonts w:ascii="Arial" w:eastAsia="Times New Roman" w:hAnsi="Arial" w:cs="Arial"/>
          <w:sz w:val="24"/>
          <w:szCs w:val="24"/>
          <w:lang w:eastAsia="es-ES"/>
        </w:rPr>
      </w:pPr>
      <w:r w:rsidRPr="002E074E">
        <w:rPr>
          <w:rFonts w:ascii="Arial" w:eastAsia="Times New Roman" w:hAnsi="Arial" w:cs="Arial"/>
          <w:sz w:val="24"/>
          <w:szCs w:val="24"/>
          <w:lang w:eastAsia="es-ES"/>
        </w:rPr>
        <w:t>Plazo que vence el próximo cuatro de mayo del presente año, por lo que resulta de imperiosa necesidad el tener una nueva Ley de Transparencia antes de esa fecha fatal.</w:t>
      </w:r>
    </w:p>
    <w:p w14:paraId="066CAAF0"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1E6761B"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Además, con fecha once de agosto del presente año, por Decreto número 2758, publicado en el Periódico Oficial “Tierra y Libertad” No. 5315, entraron en vigencia las reformas, adiciones y derogaciones de diversas disposiciones de la Constitución Política del Estado Libre y Soberano de Morelos, en materia de transparencia y de combate a la corrupción, en los términos siguientes: </w:t>
      </w:r>
    </w:p>
    <w:p w14:paraId="514DB722"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D777E9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“ARTÍCULO 2.- ...</w:t>
      </w:r>
    </w:p>
    <w:p w14:paraId="36B87614" w14:textId="77777777" w:rsidR="00A458C0" w:rsidRPr="002E074E" w:rsidRDefault="00A458C0" w:rsidP="00E85802">
      <w:pPr>
        <w:spacing w:after="0" w:line="240" w:lineRule="auto"/>
        <w:jc w:val="both"/>
        <w:rPr>
          <w:rFonts w:ascii="Arial" w:eastAsia="Times New Roman" w:hAnsi="Arial" w:cs="Arial"/>
          <w:sz w:val="24"/>
          <w:szCs w:val="24"/>
          <w:lang w:val="es-ES" w:eastAsia="es-ES"/>
        </w:rPr>
      </w:pPr>
    </w:p>
    <w:p w14:paraId="5C3FA47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 Toda la información en posesión de los poderes públicos estatales, autoridades municipales, organismos públicos autónomos creados por esta Constitución, organismos auxiliares de la administración pública estatal o municipal, partidos políticos, fondos públicos, personas físicas, morales o sindicatos que reciben y ejerzan recursos públicos o realicen actos de autoridad en el ámbito estatal y municipal y, en general, de cualquier órgano de la Administración Pública del Estado es pública y sólo podrá ser reservada temporalmente por razones de interés público en los términos que fijen las leyes. La normativa determinará los supuestos específicos bajo los cuales procederá la declaración de inexistencia de la información;</w:t>
      </w:r>
    </w:p>
    <w:p w14:paraId="10956BF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 La información que se refiere a la vida privada y los datos personales será protegida en los términos y con las excepciones que fijen las leyes;</w:t>
      </w:r>
    </w:p>
    <w:p w14:paraId="4F5C549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III. Toda persona, sin necesidad de acreditar interés alguno o justificar su utilización, tendrá acceso gratuito a la información pública, a sus datos personales o a la rectificación de éstos;</w:t>
      </w:r>
    </w:p>
    <w:p w14:paraId="24265850"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IV. Los sujetos obligados deberán preservar sus documentos en archivos administrativos actualizados y publicarán a través de los medios electrónicos </w:t>
      </w:r>
      <w:r w:rsidRPr="002E074E">
        <w:rPr>
          <w:rFonts w:ascii="Arial" w:eastAsia="Times New Roman" w:hAnsi="Arial" w:cs="Arial"/>
          <w:bCs/>
          <w:sz w:val="24"/>
          <w:szCs w:val="24"/>
          <w:lang w:val="es-ES" w:eastAsia="es-ES"/>
        </w:rPr>
        <w:lastRenderedPageBreak/>
        <w:t>disponibles, la información completa y actualizada sobre el ejercicio de los recursos públicos y los indicadores de gestión que permitan rendir cuentas del cumplimiento de sus objetivos y resultados, con relación a los parámetros y obligaciones establecidos por las normas aplicables;</w:t>
      </w:r>
    </w:p>
    <w:p w14:paraId="7677A5D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 La ley de la materia determinará la manera en que los sujetos obligados deberán hacer pública la información relativa a los recursos públicos que reciban, manejen, apliquen o entreguen a personas físicas o morales;</w:t>
      </w:r>
    </w:p>
    <w:p w14:paraId="6722F7A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 La inobservancia a las disposiciones en materia de acceso a la información pública será sancionada en los términos que dispongan las leyes;</w:t>
      </w:r>
    </w:p>
    <w:p w14:paraId="4383E94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 Se establecerán mecanismos de acceso a la información y procedimientos de revisión expeditos. Estos procedimientos se sustanciarán ante el organismo público autónomo denominado Instituto Morelense de Información Pública y Estadística, que se regirá por los principios de certeza, legalidad, independencia, imparcialidad, eficacia, objetividad, profesionalismo, transparencia y máxima publicidad;</w:t>
      </w:r>
    </w:p>
    <w:p w14:paraId="369955A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VIII. Se establecerán sistemas electrónicos de consulta estatales y municipales para que los ciudadanos puedan ejercer el derecho de acceso a la información; el Estado apoyará a los municipios que tengan una población mayor a setenta mil habitantes para el cumplimiento de esta disposición;</w:t>
      </w:r>
    </w:p>
    <w:p w14:paraId="3377FA74"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IX. En los casos en que el Instituto Morelense de Información Pública y Estadística, mediante resolución confirme la reserva, confidencialidad, inexistencia o negativa de la información, los solicitantes podrán interponer Recurso de Inconformidad ante el Instituto Nacional de Transparencia y Acceso a la Información y Protección de Datos Personales. Del mismo modo, dicho organismo, de oficio o a petición fundada del Instituto Morelense de Información Pública y Estadística, podrá conocer de los recursos que por su interés y trascendencia así lo ameriten, y</w:t>
      </w:r>
    </w:p>
    <w:p w14:paraId="1CD0079D"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X. Con el objeto de fortalecer la rendición de cuentas en el estado de Morelos, el Instituto Morelense de Información Pública y Estadística, implementará acciones con el Instituto Nacional de Transparencia y Acceso a la Información y Protección de Datos Personales, la Secretaría de la Contraloría del Poder Ejecutivo del Estado, la Entidad Superior de Auditoría y Fiscalización del Congreso del Estado de Morelos y el Instituto Estatal de Documentación.”</w:t>
      </w:r>
    </w:p>
    <w:p w14:paraId="73C0D2D8"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4765AD3E"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Así pues, destaca la inclusión de los sindicatos como nuevos sujetos obligados, así como cualquier entidad que ejerza recursos públicos o realice actos de autoridad.</w:t>
      </w:r>
    </w:p>
    <w:p w14:paraId="22B3F845"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D483340"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Los principios sobre los que se debe regir el Instituto Morelense de Información Pública, Estadística y Protección de Datos Personales.</w:t>
      </w:r>
    </w:p>
    <w:p w14:paraId="05E30355"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710388B3"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También incluye un recurso de inconformidad ante el Instituto Nacional de Acceso a la Información, para el caso de que el propio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confirme la resolución de inexistencia de información.</w:t>
      </w:r>
    </w:p>
    <w:p w14:paraId="2FA03D6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3160745B"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23-A.- El Congreso del Estado establecerá un organismo público autónomo imparcial, colegiado, con personalidad jurídica y patrimonio propio, capacidad para decidir sobre el ejercicio de su presupuesto y determinar su organización interna, responsable de garantizar el cumplimiento del derecho de acceso a la información pública de todas las personas, proteger los datos personales y realizar estadísticas, sondeos y encuestas imparciales que coadyuven al cumplimiento de las funciones de los poderes públicos y al desarrollo democrático del Estado, denominado Instituto Morelense de Información Pública y Estadística; en la conformación de este organismo garante se procurará la equidad de género. El Instituto será el encargado de aplicar las leyes de la materia y sus resoluciones serán acatadas por las entidades y dependencias públicas del Estado y municipios, organismos públicos autónomos, organismos auxiliares de la administración pública, partidos políticos, fondos públicos, personas físicas, morales o sindicatos que reciban y ejerzan recursos públicos o realicen actos de autoridad en el ámbito estatal o municipal, y por toda persona que reciba, maneje, aplique o participe en el ejercicio de recursos públicos o privados, siempre que estos se destinen a actividades relacionadas con la función pública.</w:t>
      </w:r>
    </w:p>
    <w:p w14:paraId="5C5C9C0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7DA91A1"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El Instituto Morelense de Información Pública y Estadística se integra por tres Comisionados, los cuales serán electos por la mayoría calificada de los integrantes del Congreso, para lo cual se expedirá convocatoria pública para recibir propuestas de la sociedad, observando en todo momento el procedimiento que establezcan las leyes de la materia.</w:t>
      </w:r>
    </w:p>
    <w:p w14:paraId="4711CC91"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0E1B2EA"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Los Comisionados durarán en su cargo siete años, sin posibilidad de otra designación; no podrán tener otro empleo, cargo o comisión, salvo los de docencia y los no remunerados en asociaciones científicas, artísticas o de beneficencia. </w:t>
      </w:r>
    </w:p>
    <w:p w14:paraId="7B4309BC" w14:textId="77777777" w:rsidR="00A458C0" w:rsidRPr="002E074E" w:rsidRDefault="00A458C0" w:rsidP="00E85802">
      <w:pPr>
        <w:spacing w:after="0" w:line="240" w:lineRule="auto"/>
        <w:jc w:val="both"/>
        <w:rPr>
          <w:rFonts w:ascii="Arial" w:eastAsia="Times New Roman" w:hAnsi="Arial" w:cs="Arial"/>
          <w:bCs/>
          <w:sz w:val="24"/>
          <w:szCs w:val="24"/>
          <w:lang w:val="es-ES" w:eastAsia="es-ES"/>
        </w:rPr>
      </w:pPr>
    </w:p>
    <w:p w14:paraId="3D99857D"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En los procedimientos para la selección de los Comisionados se deberá garantizar la transparencia, independencia y participación de la sociedad.”</w:t>
      </w:r>
    </w:p>
    <w:p w14:paraId="45A2D504"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2D2D4AB"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En la reforma a dicho artículo, destaca el cambio de denominación de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a Comisionados, así como una ampliación de su periodo de nombramiento de cuatro a siete años, pero sin posibilidad de ratificación.</w:t>
      </w:r>
    </w:p>
    <w:p w14:paraId="3D357246"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466DAC37"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ARTICULO 40.- …</w:t>
      </w:r>
    </w:p>
    <w:p w14:paraId="78748A13"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XL.- Nombrar a los Comisionados propietarios y suplentes del Instituto Morelense de Información Pública y Estadística, previa consulta pública;</w:t>
      </w:r>
    </w:p>
    <w:p w14:paraId="29E201C6"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5E6AE0F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ARTÍCULO 45.- El Congreso o la Diputación Permanente podrán llamar a los </w:t>
      </w:r>
      <w:proofErr w:type="gramStart"/>
      <w:r w:rsidRPr="002E074E">
        <w:rPr>
          <w:rFonts w:ascii="Arial" w:eastAsia="Times New Roman" w:hAnsi="Arial" w:cs="Arial"/>
          <w:bCs/>
          <w:sz w:val="24"/>
          <w:szCs w:val="24"/>
          <w:lang w:val="es-ES" w:eastAsia="es-ES"/>
        </w:rPr>
        <w:t>Secretarios</w:t>
      </w:r>
      <w:proofErr w:type="gramEnd"/>
      <w:r w:rsidRPr="002E074E">
        <w:rPr>
          <w:rFonts w:ascii="Arial" w:eastAsia="Times New Roman" w:hAnsi="Arial" w:cs="Arial"/>
          <w:bCs/>
          <w:sz w:val="24"/>
          <w:szCs w:val="24"/>
          <w:lang w:val="es-ES" w:eastAsia="es-ES"/>
        </w:rPr>
        <w:t xml:space="preserve"> del Poder Ejecutivo Estatal y a los Comisionados del Instituto Morelense de Información Pública y Estadística a cualquiera de sus sesiones secretas o públicas para pedirles los informes verbales que necesiten sobre asuntos relacionados con el desempeño de sus funciones y estos funcionarios deberán presentarse a ministrarlos. </w:t>
      </w:r>
    </w:p>
    <w:p w14:paraId="45457458"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48D1D2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ARTÍCULO 60.- …</w:t>
      </w:r>
    </w:p>
    <w:p w14:paraId="04A50C9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VII.- El </w:t>
      </w:r>
      <w:proofErr w:type="gramStart"/>
      <w:r w:rsidRPr="002E074E">
        <w:rPr>
          <w:rFonts w:ascii="Arial" w:eastAsia="Times New Roman" w:hAnsi="Arial" w:cs="Arial"/>
          <w:bCs/>
          <w:sz w:val="24"/>
          <w:szCs w:val="24"/>
          <w:lang w:val="es-ES" w:eastAsia="es-ES"/>
        </w:rPr>
        <w:t>Consejero Presidente</w:t>
      </w:r>
      <w:proofErr w:type="gramEnd"/>
      <w:r w:rsidRPr="002E074E">
        <w:rPr>
          <w:rFonts w:ascii="Arial" w:eastAsia="Times New Roman" w:hAnsi="Arial" w:cs="Arial"/>
          <w:bCs/>
          <w:sz w:val="24"/>
          <w:szCs w:val="24"/>
          <w:lang w:val="es-ES" w:eastAsia="es-ES"/>
        </w:rPr>
        <w:t xml:space="preserve"> y los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Electorales del Organismo Público Electoral de Morelos, los Magistrados del Tribunal Electoral del Estado de Morelos, así como el personal directivo del Organismo Público Electoral de Morelos ni los Comisionados del Instituto Morelense de Información Pública y Estadística, aún si se separan de sus funciones, conforme a lo dispuesto en el artículo 23 de la presente Constitución.”</w:t>
      </w:r>
    </w:p>
    <w:p w14:paraId="4AE083AC"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2284BA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Se ratifica el cambio de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a Comisionados.</w:t>
      </w:r>
    </w:p>
    <w:p w14:paraId="7EEA39C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7AB75C69" w14:textId="77777777" w:rsidR="00E85802" w:rsidRPr="002E074E" w:rsidRDefault="00E85802" w:rsidP="00E85802">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“TÍTULO SÉPTIMO</w:t>
      </w:r>
    </w:p>
    <w:p w14:paraId="67610F2B" w14:textId="77777777" w:rsidR="00E85802" w:rsidRPr="002E074E" w:rsidRDefault="00E85802" w:rsidP="00E85802">
      <w:pPr>
        <w:autoSpaceDE w:val="0"/>
        <w:autoSpaceDN w:val="0"/>
        <w:adjustRightInd w:val="0"/>
        <w:spacing w:after="0" w:line="240" w:lineRule="auto"/>
        <w:jc w:val="center"/>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DEL SISTEMA ESTATAL ANTICORRUPCIÓN</w:t>
      </w:r>
    </w:p>
    <w:p w14:paraId="118FDB89" w14:textId="77777777" w:rsidR="00E85802" w:rsidRDefault="00E85802" w:rsidP="00E85802">
      <w:pPr>
        <w:autoSpaceDE w:val="0"/>
        <w:autoSpaceDN w:val="0"/>
        <w:adjustRightInd w:val="0"/>
        <w:spacing w:after="0" w:line="240" w:lineRule="auto"/>
        <w:jc w:val="both"/>
        <w:rPr>
          <w:rFonts w:ascii="Arial" w:eastAsia="Times New Roman" w:hAnsi="Arial" w:cs="Arial"/>
          <w:bCs/>
          <w:sz w:val="24"/>
          <w:szCs w:val="24"/>
          <w:lang w:val="es-ES" w:eastAsia="es-ES"/>
        </w:rPr>
      </w:pPr>
    </w:p>
    <w:p w14:paraId="56E5D45C" w14:textId="77777777" w:rsidR="00E85802" w:rsidRPr="002E074E" w:rsidRDefault="00E85802" w:rsidP="00E85802">
      <w:pPr>
        <w:autoSpaceDE w:val="0"/>
        <w:autoSpaceDN w:val="0"/>
        <w:adjustRightInd w:val="0"/>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ARTÍCULO 134.- Se establece el Sistema Estatal Anticorrupción, como instancia coordinadora entre las autoridades competentes en la prevención, </w:t>
      </w:r>
      <w:r w:rsidRPr="002E074E">
        <w:rPr>
          <w:rFonts w:ascii="Arial" w:eastAsia="Times New Roman" w:hAnsi="Arial" w:cs="Arial"/>
          <w:bCs/>
          <w:w w:val="90"/>
          <w:sz w:val="24"/>
          <w:szCs w:val="24"/>
          <w:lang w:val="es-ES" w:eastAsia="es-ES"/>
        </w:rPr>
        <w:t>detección, investigación y sanción de</w:t>
      </w:r>
      <w:r w:rsidRPr="002E074E">
        <w:rPr>
          <w:rFonts w:ascii="Arial" w:eastAsia="Times New Roman" w:hAnsi="Arial" w:cs="Arial"/>
          <w:bCs/>
          <w:sz w:val="24"/>
          <w:szCs w:val="24"/>
          <w:lang w:val="es-ES" w:eastAsia="es-ES"/>
        </w:rPr>
        <w:t xml:space="preserve"> responsabilidades administrativas y hechos de corrupción, el cual se conformará y ajustará a lo dispuesto en la propia Constitución y la normativa aplicable.</w:t>
      </w:r>
    </w:p>
    <w:p w14:paraId="4A10B319" w14:textId="77777777" w:rsidR="00E85802" w:rsidRDefault="00E85802" w:rsidP="00E85802">
      <w:pPr>
        <w:spacing w:after="0" w:line="240" w:lineRule="auto"/>
        <w:jc w:val="both"/>
        <w:rPr>
          <w:rFonts w:ascii="Arial" w:eastAsia="Times New Roman" w:hAnsi="Arial" w:cs="Arial"/>
          <w:sz w:val="24"/>
          <w:szCs w:val="24"/>
          <w:lang w:val="es-ES_tradnl" w:eastAsia="es-ES"/>
        </w:rPr>
      </w:pPr>
      <w:r w:rsidRPr="002E074E">
        <w:rPr>
          <w:rFonts w:ascii="Arial" w:eastAsia="Times New Roman" w:hAnsi="Arial" w:cs="Arial"/>
          <w:sz w:val="24"/>
          <w:szCs w:val="24"/>
          <w:lang w:val="es-ES_tradnl" w:eastAsia="es-ES"/>
        </w:rPr>
        <w:lastRenderedPageBreak/>
        <w:t xml:space="preserve">El Sistema contará con un Comité Coordinador que estará integrado por los Titulares de la </w:t>
      </w:r>
      <w:r w:rsidRPr="002E074E">
        <w:rPr>
          <w:rFonts w:ascii="Arial" w:eastAsia="Times New Roman" w:hAnsi="Arial" w:cs="Arial"/>
          <w:sz w:val="24"/>
          <w:szCs w:val="24"/>
          <w:lang w:eastAsia="es-ES"/>
        </w:rPr>
        <w:t>Entidad Superior de Auditoría y Fiscalización del Congreso del Estado de Morelos,</w:t>
      </w:r>
      <w:r w:rsidRPr="002E074E">
        <w:rPr>
          <w:rFonts w:ascii="Arial" w:eastAsia="Times New Roman" w:hAnsi="Arial" w:cs="Arial"/>
          <w:sz w:val="24"/>
          <w:szCs w:val="24"/>
          <w:lang w:val="es-ES_tradnl" w:eastAsia="es-ES"/>
        </w:rPr>
        <w:t xml:space="preserve">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14:paraId="7DB3B293"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71D6B234"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establece que el Instituto Morelense de Información Pública, Estadística y Protección de Datos Personales, es parte fundamental del Sistema Estatal Anticorrupción.</w:t>
      </w:r>
    </w:p>
    <w:p w14:paraId="547F5805"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34609DA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Modificaciones todas, que resulta necesario plasmar en un nuevo ordenamiento que aglutine éstas y otras reformas y adiciones necesarias para revitalizar el derecho de los ciudadanos a la información.</w:t>
      </w:r>
    </w:p>
    <w:p w14:paraId="798C9702"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218A204A"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V.- MODIFICACIÓN DE LA INICIATIVA</w:t>
      </w:r>
    </w:p>
    <w:p w14:paraId="4B057466"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B4F4BC4"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general, esta Comisión Dictaminadora determina como procedente la Iniciativa con Proyecto de Decreto por el que crea la Ley de Transparencia y Acceso a la Información Pública del Estado de Morelos, excepto en los siguientes puntos:</w:t>
      </w:r>
    </w:p>
    <w:p w14:paraId="1C1A687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3C262A91"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Se promueve la participación de un gobierno abierto mediante la participación ciudadana, finalidad que no se encontraba prevista dentro del artículo 1 que se adiciona, en el presente dictamen.</w:t>
      </w:r>
    </w:p>
    <w:p w14:paraId="1F3BE341"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578A01A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lo relativo a la fracción XI, del artículo 2, se modifica con la finalidad de hacerlo incluyente por cuanto a la participación social y comunitaria bajo el marco de la transparencia y de gobierno abierto, propuesta que se considera viable. </w:t>
      </w:r>
    </w:p>
    <w:p w14:paraId="646DBFE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6168CEA6"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Artículo 3, dentro del catálogo de definiciones, no se tenía previsto qué era gobierno abierto ni quiénes eran los sujetos obligados, por lo que se adicionan de acuerdo a su orden alfabético y recorriéndose las fracciones en su consecutivo natural. En el mismo, en la fracción XXII se hace la corrección, y el artículo de la presente Ley que habla acerca de la Unidad de Transparencia es el 26.</w:t>
      </w:r>
    </w:p>
    <w:p w14:paraId="0CCC9132"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1EEAEB4E"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Se suprime el artículo 12 por ser reiterativo sobre el concepto de Sujetos Obligados.</w:t>
      </w:r>
    </w:p>
    <w:p w14:paraId="3551D565"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F74572A"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el artículo 14, se agregan como características del Instituto Morelense de Información Pública, Estadística y Protección de Datos Personales, que se trata de un órgano especializado e imparcial, en términos de lo dispuesto por el artículo 37, de la Ley General de Transparencia y Acceso a la Información Pública.</w:t>
      </w:r>
    </w:p>
    <w:p w14:paraId="4D40A712"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44563BF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Respecto del artículo 15, se establece que serán los aspirantes de manera personal y no a “propuesta” de la sociedad, con el propósito de no coartar los derechos de cada ciudadano que considere que cumple con los requisitos previstos.</w:t>
      </w:r>
    </w:p>
    <w:p w14:paraId="3B46AE0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218EE05E"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suprime la propuesta de que comparezcan al Pleno, en virtud de que esto podría tardar varias sesiones del Congreso del Estado.</w:t>
      </w:r>
    </w:p>
    <w:p w14:paraId="014234DE"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63F2DD6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lo tanto, se propone recoger la forma de selección que ya se encontraba prevista en la Ley vigente, es decir, dejar que sea la Junta quien entreviste y ante ellos sea que se exponga sus proyectos de trabajo, para todos aquellos que cumplan con los requisitos previstos en la ley y en la convocatoria. Una vez hecho lo anterior, el Pleno del Congreso determinará mediante votación al ciudadano que quedará como Comisionado del Instituto Morelense de Información pública y Estadística.</w:t>
      </w:r>
    </w:p>
    <w:p w14:paraId="7724671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4A94159B"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Se suprime la propuesta de que la elección de los Comisionados deberá ser de forma escalonada, en razón de que a la reforma constitucional que cambió la denominación anterior de </w:t>
      </w:r>
      <w:proofErr w:type="gramStart"/>
      <w:r w:rsidRPr="002E074E">
        <w:rPr>
          <w:rFonts w:ascii="Arial" w:eastAsia="Times New Roman" w:hAnsi="Arial" w:cs="Arial"/>
          <w:bCs/>
          <w:sz w:val="24"/>
          <w:szCs w:val="24"/>
          <w:lang w:val="es-ES" w:eastAsia="es-ES"/>
        </w:rPr>
        <w:t>Consejeros</w:t>
      </w:r>
      <w:proofErr w:type="gramEnd"/>
      <w:r w:rsidRPr="002E074E">
        <w:rPr>
          <w:rFonts w:ascii="Arial" w:eastAsia="Times New Roman" w:hAnsi="Arial" w:cs="Arial"/>
          <w:bCs/>
          <w:sz w:val="24"/>
          <w:szCs w:val="24"/>
          <w:lang w:val="es-ES" w:eastAsia="es-ES"/>
        </w:rPr>
        <w:t xml:space="preserve">, ya había previsto la elección, por lo que de cualquier forma su renovación sería de esa manera, </w:t>
      </w:r>
      <w:proofErr w:type="gramStart"/>
      <w:r w:rsidRPr="002E074E">
        <w:rPr>
          <w:rFonts w:ascii="Arial" w:eastAsia="Times New Roman" w:hAnsi="Arial" w:cs="Arial"/>
          <w:bCs/>
          <w:sz w:val="24"/>
          <w:szCs w:val="24"/>
          <w:lang w:val="es-ES" w:eastAsia="es-ES"/>
        </w:rPr>
        <w:t>resultando reiterativa</w:t>
      </w:r>
      <w:proofErr w:type="gramEnd"/>
      <w:r w:rsidRPr="002E074E">
        <w:rPr>
          <w:rFonts w:ascii="Arial" w:eastAsia="Times New Roman" w:hAnsi="Arial" w:cs="Arial"/>
          <w:bCs/>
          <w:sz w:val="24"/>
          <w:szCs w:val="24"/>
          <w:lang w:val="es-ES" w:eastAsia="es-ES"/>
        </w:rPr>
        <w:t xml:space="preserve"> la reforma.</w:t>
      </w:r>
    </w:p>
    <w:p w14:paraId="2E0DA7F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CF15B3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17, se agrega la disposición de que, en caso de que algún Comisionado ejerza la docencia o investigación, éstas deberán de ser sin remuneración alguna.</w:t>
      </w:r>
    </w:p>
    <w:p w14:paraId="324608F4"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43D251A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Se suprime el segundo párrafo del artículo 18, debido a que no debe ser materia del articulado ordinario de la Ley materia del presente dictamen, sino de los transitorios de la misma, la obligación de que el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deberá de tener un presupuesto suficiente para consecución de sus fines.</w:t>
      </w:r>
    </w:p>
    <w:p w14:paraId="76936BC6"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09A91A7"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lastRenderedPageBreak/>
        <w:t xml:space="preserve">En el artículo 18 y 19 se cambia el término </w:t>
      </w:r>
      <w:proofErr w:type="gramStart"/>
      <w:r w:rsidRPr="002E074E">
        <w:rPr>
          <w:rFonts w:ascii="Arial" w:eastAsia="Times New Roman" w:hAnsi="Arial" w:cs="Arial"/>
          <w:bCs/>
          <w:sz w:val="24"/>
          <w:szCs w:val="24"/>
          <w:lang w:val="es-ES" w:eastAsia="es-ES"/>
        </w:rPr>
        <w:t>Consejero</w:t>
      </w:r>
      <w:proofErr w:type="gramEnd"/>
      <w:r w:rsidRPr="002E074E">
        <w:rPr>
          <w:rFonts w:ascii="Arial" w:eastAsia="Times New Roman" w:hAnsi="Arial" w:cs="Arial"/>
          <w:bCs/>
          <w:sz w:val="24"/>
          <w:szCs w:val="24"/>
          <w:lang w:val="es-ES" w:eastAsia="es-ES"/>
        </w:rPr>
        <w:t>, por el de Comisionado, de acuerdo a la reforma a la Constitución Estadual del año pasado.</w:t>
      </w:r>
    </w:p>
    <w:p w14:paraId="14D27DED"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A35A0C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Respecto del numeral 3 del mismo artículo 19, cabe hacer notar que las restricciones en los términos que propone, se refieren a un impedimento para ocupar determinado cargo a los funcionarios que pudieran influir en la designación, en este caso los Diputados Locales; ahora bien, tomando en cuenta que a partir de la presente legislatura esos representantes populares tendrán la facultad de reelegirse hasta por tres periodos consecutivos, resulta procedente aumentar el plazo restrictivo hasta los tres años, tomando en consideración que el aspirante al cargo haya sido compañero de los electores del nuevo Comisionado en una anterior legislatura.</w:t>
      </w:r>
    </w:p>
    <w:p w14:paraId="266698B0"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48FC64F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la misma forma el artículo 20 relativo a las facultades del Pleno del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se adiciona la fracción XXIV, en materia de acceso a la información a los expedientes considerados delitos de lesa humanidad o de violaciones graves de derechos humanos, sin que ello implique pronunciarse sobre los  delitos contenido en ellos, pues no es facultad ni naturaleza del instituto, pero sí sobre la entrega de la información bajo los resguardos inherente a la protección de los datos confidenciales o personales; recorriéndose la  actual  fracción XXIV pasando a ser XXV de la iniciativa que ahora se dictamina.</w:t>
      </w:r>
    </w:p>
    <w:p w14:paraId="15BA2715"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217A11D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Dentro de las facultades del Comisionado Presidente previstas en el artículo 21, se considera procedente las observaciones hechas, pues al cambiarse de denominación de Consejeros a Comisionados tanto en la Constitución Federal como en la propia del Estado, se hace la corrección en el primer párrafo, y por cuestión de términos se hace el distingo de Pleno por el de consejo, pues si bien por cuanto al significado  gramatical es lo mismo, en la iniciativa existe otro Consejo como es el Consejo Consultivo, que no es materia del presente artículo que se modifica; por lo tanto se modifica las fracciones II, III, IV, X, XI y XIII. Así mismo, se adiciona la fracción XII, pues dentro de las reformas a la Constitución Local se establece como parte integrante del Sistema Estatal Anticorrupción al Instituto; pasando a formar la fracción XII de la presente iniciativa la fracción XIII.</w:t>
      </w:r>
    </w:p>
    <w:p w14:paraId="10689E52" w14:textId="77777777" w:rsidR="00A458C0" w:rsidRPr="002E074E" w:rsidRDefault="00A458C0" w:rsidP="00E85802">
      <w:pPr>
        <w:spacing w:after="0" w:line="240" w:lineRule="auto"/>
        <w:jc w:val="both"/>
        <w:rPr>
          <w:rFonts w:ascii="Arial" w:eastAsia="Times New Roman" w:hAnsi="Arial" w:cs="Arial"/>
          <w:sz w:val="24"/>
          <w:szCs w:val="24"/>
          <w:lang w:val="es-ES" w:eastAsia="es-ES"/>
        </w:rPr>
      </w:pPr>
    </w:p>
    <w:p w14:paraId="630A59D0"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Con relación a la propuesta contenida en el penúltimo párrafo del artículo 23, esta Comisión Dictaminadora determina su improcedencia, en virtud de que, en </w:t>
      </w:r>
      <w:r w:rsidRPr="002E074E">
        <w:rPr>
          <w:rFonts w:ascii="Arial" w:eastAsia="Times New Roman" w:hAnsi="Arial" w:cs="Arial"/>
          <w:bCs/>
          <w:sz w:val="24"/>
          <w:szCs w:val="24"/>
          <w:lang w:val="es-ES" w:eastAsia="es-ES"/>
        </w:rPr>
        <w:lastRenderedPageBreak/>
        <w:t>tratándose de grandes organismos pudiera considerarse que los miembros del Comité de Transparencia no dependieran jerárquicamente entre ellos, pero en el caso de organismos pequeños, como por ejemplo los fideicomisos públicos, resulta de imposible cumplimiento dicha restricción.</w:t>
      </w:r>
    </w:p>
    <w:p w14:paraId="1F246711"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292BD3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establece en el artículo 26, que deberá procurarse que quien funja como titular de cada Unidad de Transparencia, tenga conocimiento de la materia, preferentemente se encontrarán certificados en los estándares de competencia.</w:t>
      </w:r>
    </w:p>
    <w:p w14:paraId="62727A44"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CC969E1"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suprimen las palabras “del Estado” del artículo 27, por resultar reiterativa su mención en esos términos. Se modifica la redacción del segundo párrafo privilegiando que los servidores públicos que laboren y auxilien en las Unidades de Transparencia sean personas capacitadas y especializadas en transparencia, además de contar con el espacio propio para el cumplimiento de sus funciones.</w:t>
      </w:r>
    </w:p>
    <w:p w14:paraId="35EFBB2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48EB758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Respecto al TÍTULO TERCERO se cambia la denominación a DE LA PARTICIPACIÓN DEL INSTITUTO EN EL SISTEMA NACIONAL DE TRANSPARENCIA Y DE LA PLATAFORMA ELECTRÓNICA, asimismo al CAPÍTULO ÚNICO para quedar DE LA PLATAFORMA ELECTRÓNICA DE TRANSPARENCIA, pues es ahí donde se podrá en funcionamiento cumplir con los procedimientos, obligaciones y disposiciones que se señalan en la presente Ley. Asimismo, se modifica en la presente Ley, al referirse a la Plataforma Nacional, lo sea a la Plataforma Electrónica. </w:t>
      </w:r>
    </w:p>
    <w:p w14:paraId="0C09666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FAA88D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Se elimina la denominación completa del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de los artículos 33 y 35, así como se cambia el sentido de la redacción, para que se entienda en forma clara que el instituto forma parte del Sistema Nacional de Transparencia en forma conjunta con los órganos garantes estatales y nacionales.</w:t>
      </w:r>
    </w:p>
    <w:p w14:paraId="2C513B0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43529D50"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Si bien el artículo 39 señala lo relativo a la transparencia proactiva, se adiciona un párrafo relativo a las buenas prácticas en materia de transparencia en el gobierno, los medios de difusión para con la sociedad éste enterada de sus logros.</w:t>
      </w:r>
    </w:p>
    <w:p w14:paraId="5369E61F"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20AE07D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En lo referente al TÍTULO CUARTO, CAPÍTULO III se cambia la denominación a DEL GOBIERNO ABIERTO Y PARTICIPACIÓN CIUDADANA, pues se trata de darle sentido a un gobierno abierto, pues un gobierno abierto no se entiende sin la </w:t>
      </w:r>
      <w:r w:rsidRPr="002E074E">
        <w:rPr>
          <w:rFonts w:ascii="Arial" w:eastAsia="Times New Roman" w:hAnsi="Arial" w:cs="Arial"/>
          <w:bCs/>
          <w:sz w:val="24"/>
          <w:szCs w:val="24"/>
          <w:lang w:val="es-ES" w:eastAsia="es-ES"/>
        </w:rPr>
        <w:lastRenderedPageBreak/>
        <w:t>presencia y participación de la sociedad, por consiguiente, se cambia la denominación.</w:t>
      </w:r>
    </w:p>
    <w:p w14:paraId="4F70392B"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F4E13F2"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ese sentido se adicionan al artículo 42 dos párrafos reforzando los objetivos de la participación ciudadana y del gobierno abierto y los medios que se pudieran utilizar para cumplir con los objetivos.</w:t>
      </w:r>
    </w:p>
    <w:p w14:paraId="115FDEEB"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5F7931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Como parte del reforzamiento el artículo 43 se le adiciona un párrafo, indicándole las funciones que deberá de realiza el Instituto en el gobierno abierto frente a la sociedad.</w:t>
      </w:r>
    </w:p>
    <w:p w14:paraId="25D2E2A0"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64CE4F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Se elimina la denominación completa del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del artículo 45, en razón de que en la propuesta existe un artículo de definiciones donde se estableció su nombre abreviado.</w:t>
      </w:r>
    </w:p>
    <w:p w14:paraId="6EF8FDEB"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1321BED"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51 se agrega la fracción XLV para establecer que los sujetos obligados deberán acreditar que cuentan con los estudios correspondientes para el desempeño de su cargo mediante cédula profesional.</w:t>
      </w:r>
    </w:p>
    <w:p w14:paraId="5A66412B"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1FDEE1F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Al artículo 52 se agregan en la fracción III, los incisos c) y d) para que los municipios pongan a disposición del público nombramientos, reportes, informes del municipio, información de los recursos públicos; además, informes de los servicios públicos que otorga el municipio a los ciudadanos, dado a que son obligaciones constitucionales. </w:t>
      </w:r>
    </w:p>
    <w:p w14:paraId="448EB3CA"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31943309"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lo relativo al artículo 53, fracción I, inciso e), se desprende que la naturaleza del inciso no corresponde a los dos niveles de gobierno, pues las patentes de corredores y notarios públicos son exclusivas del Poder Ejecutivo, por consiguiente, se debe de poner una fracción exclusiva del Poder Ejecutivo, recorriéndose los incisos f) y g) al orden subsecuente, así mismo, se recorre la fracción actual II, pasando a ser III.</w:t>
      </w:r>
    </w:p>
    <w:p w14:paraId="2B85823A" w14:textId="77777777" w:rsidR="00A458C0" w:rsidRPr="002E074E" w:rsidRDefault="00A458C0" w:rsidP="00E85802">
      <w:pPr>
        <w:spacing w:after="0" w:line="240" w:lineRule="auto"/>
        <w:jc w:val="both"/>
        <w:rPr>
          <w:rFonts w:ascii="Arial" w:eastAsia="Times New Roman" w:hAnsi="Arial" w:cs="Arial"/>
          <w:sz w:val="24"/>
          <w:szCs w:val="24"/>
          <w:lang w:val="es-ES" w:eastAsia="es-ES"/>
        </w:rPr>
      </w:pPr>
    </w:p>
    <w:p w14:paraId="1D76B444"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 xml:space="preserve">Al artículo 55 en la fracción III, el inciso d) se elimina, toda vez que la finalidad de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no es realizar estudios, por lo tanto, se recorren las demás en orden subsecuente.</w:t>
      </w:r>
    </w:p>
    <w:p w14:paraId="6DEE5FEE"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CE31562"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 xml:space="preserve">En el artículo 56, fracción III, que refiere la información que deberá actualizar la Universidad Autónoma del Estado de Morelos, se abunda al ser más específica acerca de la nómina que reciben los profesores. En la última fracción se anexa que deberá hacer del conocimiento la Universidad antes mencionada el costo de Instituciones incorporadas, toda vez que es un ingreso que se percibe. </w:t>
      </w:r>
    </w:p>
    <w:p w14:paraId="5EB84E6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FA4C4B8"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De los artículos 57, 58, 59, 60, 61, 62, 64, 69 y 70 se aprecia error de concordancia con el correlativo 52, pues </w:t>
      </w:r>
      <w:proofErr w:type="gramStart"/>
      <w:r w:rsidRPr="002E074E">
        <w:rPr>
          <w:rFonts w:ascii="Arial" w:eastAsia="Times New Roman" w:hAnsi="Arial" w:cs="Arial"/>
          <w:bCs/>
          <w:sz w:val="24"/>
          <w:szCs w:val="24"/>
          <w:lang w:val="es-ES" w:eastAsia="es-ES"/>
        </w:rPr>
        <w:t>éste</w:t>
      </w:r>
      <w:proofErr w:type="gramEnd"/>
      <w:r w:rsidRPr="002E074E">
        <w:rPr>
          <w:rFonts w:ascii="Arial" w:eastAsia="Times New Roman" w:hAnsi="Arial" w:cs="Arial"/>
          <w:bCs/>
          <w:sz w:val="24"/>
          <w:szCs w:val="24"/>
          <w:lang w:val="es-ES" w:eastAsia="es-ES"/>
        </w:rPr>
        <w:t xml:space="preserve"> artículo es el correspondiente única y exclusiva al Poder Ejecutivo y municipios, que en la especie no aplica; siendo su concordancia el artículo 55 inherente a las obligaciones de transparencia comunes. </w:t>
      </w:r>
    </w:p>
    <w:p w14:paraId="4F1BB7F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756E2306"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los artículos 71, 72, 74, 123 y 73 párrafo primero al momento de mencionar los términos que confiere la Ley propuesta se adiciona que sean días “hábiles”, lo anterior, debido a que las actuaciones no son de carácter urgente y para que no haya confusiones al momento de contestar lo solicitado.</w:t>
      </w:r>
    </w:p>
    <w:p w14:paraId="1D428D46"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1D32861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los artículos 73, párrafo segundo, 75 y 145 al momento de mencionar los términos que confiere la Ley propuesta, se agrega que sean “naturales”, lo anterior, debido a que lo solicitado resulta de carácter urgente. </w:t>
      </w:r>
    </w:p>
    <w:p w14:paraId="364E8A54"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7E1D82EA"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86, se suprimen la facción I y la IX, de conformidad con lo dispuesto por el artículo 100 de la Ley General de la materia. Y en la fracción III, se hace corrección en concordancia a los Títulos y Capítulos correspondientes de esta Ley.</w:t>
      </w:r>
    </w:p>
    <w:p w14:paraId="4D34595F"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6C556FD8"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En el artículo 100, se aprecia un error de concordancia pues se tiene plasmado el artículo 93, siendo el correcto 103.</w:t>
      </w:r>
    </w:p>
    <w:p w14:paraId="24B0A59C"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7CE1A21"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r w:rsidRPr="002E074E">
        <w:rPr>
          <w:rFonts w:ascii="Arial" w:eastAsia="Times New Roman" w:hAnsi="Arial" w:cs="Arial"/>
          <w:bCs/>
          <w:sz w:val="24"/>
          <w:szCs w:val="24"/>
          <w:lang w:val="es-ES" w:eastAsia="es-ES"/>
        </w:rPr>
        <w:t>Con relación al plazo establecido en el artículo 102 de la iniciativa, se reduce a sólo dos días hábiles, en razón de que se trata de la hipótesis en la cual el titular de la Unidad de Información Pública se percata de que la información solicitada, ya se encuentra disponible al público, por lo que únicamente tiene que informarle al solicitante dicha situación.</w:t>
      </w:r>
    </w:p>
    <w:p w14:paraId="28CD3044"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2C17718"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Respecto del artículo 103, se establece que será la Unidad Transparencia la que acuerde directamente la prórroga para la entrega de la información y no el Comité de Transparencia, con el propósito de hacer más ágil el proceso.</w:t>
      </w:r>
    </w:p>
    <w:p w14:paraId="0B445C0B" w14:textId="77777777" w:rsidR="00E85802" w:rsidRDefault="00E85802" w:rsidP="00E85802">
      <w:pPr>
        <w:tabs>
          <w:tab w:val="left" w:pos="6597"/>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En el artículo 117, párrafo primero, se hace la corrección al mencionar “la persona a quien se le niegue el acceso” para quedar “El solicitante”, toda vez que lo anterior ya se refiere en el artículo 118 para quedar como una causa de procedencia al recurso de revisión.</w:t>
      </w:r>
    </w:p>
    <w:p w14:paraId="588BCEFD" w14:textId="77777777" w:rsidR="00E85802" w:rsidRPr="002E074E" w:rsidRDefault="00E85802" w:rsidP="00E85802">
      <w:pPr>
        <w:tabs>
          <w:tab w:val="left" w:pos="6597"/>
        </w:tabs>
        <w:spacing w:after="0" w:line="240" w:lineRule="auto"/>
        <w:jc w:val="both"/>
        <w:rPr>
          <w:rFonts w:ascii="Arial" w:eastAsia="Times New Roman" w:hAnsi="Arial" w:cs="Arial"/>
          <w:sz w:val="24"/>
          <w:szCs w:val="24"/>
          <w:lang w:val="es-ES" w:eastAsia="es-ES"/>
        </w:rPr>
      </w:pPr>
    </w:p>
    <w:p w14:paraId="0690943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118, fracción XII, se agrega la falta de “respuesta”, para una mejor interpretación de lo solicitado, y se agrega la fracción XIV para que proceda el recurso de revisión en los casos en que la normatividad lo permita.</w:t>
      </w:r>
    </w:p>
    <w:p w14:paraId="739275F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4C568B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cuanto al artículo 119, en su fracción III, se cambia la palabra “dirección” por “domicilio”, fracciones V y VII, la primera se corrige por cuestión de redacción sustituyéndose el “de” por el “que”; en relación a la fracción VII, ampliándose las hipótesis para la presentación del recurso de inconformidad, pues la redacción propuesta en la presente iniciativa pedía copia de la respuesta como requisito para la presentación del recurso, y en la modificación no es necesario anexarla, sino sólo enuncia la fecha de respuesta o conocimiento del acto para su accionar.</w:t>
      </w:r>
    </w:p>
    <w:p w14:paraId="344F0D6C"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57C2B30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bCs/>
          <w:sz w:val="24"/>
          <w:szCs w:val="24"/>
          <w:u w:color="000000"/>
          <w:bdr w:val="nil"/>
          <w:lang w:eastAsia="es-MX"/>
        </w:rPr>
        <w:t xml:space="preserve">Al mismo artículo se agrega un párrafo para que </w:t>
      </w:r>
      <w:r w:rsidRPr="002E074E">
        <w:rPr>
          <w:rFonts w:ascii="Arial" w:hAnsi="Arial" w:cs="Arial"/>
          <w:sz w:val="24"/>
          <w:szCs w:val="24"/>
          <w:u w:color="000000"/>
          <w:bdr w:val="nil"/>
          <w:lang w:eastAsia="es-MX"/>
        </w:rPr>
        <w:t>en caso de no señalarse medio de notificación alguno, se harán en los estrados del Instituto, lo anterior para que quede vinculado a dicha actuación en lo que le afecte o beneficie, y si lo considera contrario a sus intereses pueda inconformarse en los términos de ley.</w:t>
      </w:r>
    </w:p>
    <w:p w14:paraId="635A5E9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CEAD0C5"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Al artículo 122 se le agrega un párrafo para establecer que el Pleno determinará que Comisionado conocerá el caso en concreto en caso de excusarse otro. </w:t>
      </w:r>
    </w:p>
    <w:p w14:paraId="7757E536"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02014C0C"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En el artículo 127, fracción III, se agrega “formular” alegatos para una mejor comprensión del articulado; y en la fracción V se modifica lo referente a remitir a la fracción II del mismo artículo para establecer: “V. Concluido el desahogo de pruebas …” para el debido proceso.</w:t>
      </w:r>
    </w:p>
    <w:p w14:paraId="06CF0C8E"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En el artículo 129, segundo párrafo, al referirse al notificar y publicar las resoluciones, se agrega: “que concluyan el procedimiento”, para que de manera específica únicamente sean estas las que se pongan del conocimiento a las partes. </w:t>
      </w:r>
    </w:p>
    <w:p w14:paraId="50214CCC"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288C1B33"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Esta Comisión Dictaminadora considera viable la modificación tanto al nombre del TÍTULO OCTAVO para quedar como sigue DEL SISTEMA ESTATAL DE ENCUESTAS Y ANÁLISIS ESTADÍSTICO, pues como se encontraba en la iniciativa </w:t>
      </w:r>
      <w:r w:rsidRPr="002E074E">
        <w:rPr>
          <w:rFonts w:ascii="Arial" w:eastAsia="Times New Roman" w:hAnsi="Arial" w:cs="Arial"/>
          <w:bCs/>
          <w:sz w:val="24"/>
          <w:szCs w:val="24"/>
          <w:lang w:val="es-ES" w:eastAsia="es-ES"/>
        </w:rPr>
        <w:lastRenderedPageBreak/>
        <w:t>se entendería que realiza funciones iguales a la del organismo denominado INEGI, y lo que se pretende hacer es análisis de la información que se genera en el actuar del Instituto. Por consiguiente, se hacen las modificaciones a los artículos respectivos del presente proyecto.</w:t>
      </w:r>
    </w:p>
    <w:p w14:paraId="21FC29B4"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1D89E61" w14:textId="77777777" w:rsidR="00E85802" w:rsidRDefault="00E85802" w:rsidP="00E85802">
      <w:pPr>
        <w:spacing w:after="0" w:line="240" w:lineRule="auto"/>
        <w:jc w:val="both"/>
        <w:rPr>
          <w:rFonts w:ascii="Arial" w:eastAsia="Times New Roman" w:hAnsi="Arial" w:cs="Arial"/>
          <w:bCs/>
          <w:sz w:val="24"/>
          <w:szCs w:val="24"/>
          <w:lang w:val="es-ES_tradnl" w:eastAsia="es-ES"/>
        </w:rPr>
      </w:pPr>
      <w:r w:rsidRPr="002E074E">
        <w:rPr>
          <w:rFonts w:ascii="Arial" w:eastAsia="Times New Roman" w:hAnsi="Arial" w:cs="Arial"/>
          <w:bCs/>
          <w:sz w:val="24"/>
          <w:szCs w:val="24"/>
          <w:lang w:val="es-ES" w:eastAsia="es-ES"/>
        </w:rPr>
        <w:t>Al Título Décimo se cambia la denominación para quedar “</w:t>
      </w:r>
      <w:r w:rsidRPr="002E074E">
        <w:rPr>
          <w:rFonts w:ascii="Arial" w:eastAsia="Times New Roman" w:hAnsi="Arial" w:cs="Arial"/>
          <w:bCs/>
          <w:sz w:val="24"/>
          <w:szCs w:val="24"/>
          <w:lang w:val="es-ES_tradnl" w:eastAsia="es-ES"/>
        </w:rPr>
        <w:t>DE LAS MEDIDAS DE APREMIO Y LAS SANCIONES”, pues las faltas se dan como consecuencia del incumplimiento a la normatividad, en ese sentido resulta equívoco el nombre con respecto a lo que se regula en el Título, es decir, las medidas de apremio y las sanciones.</w:t>
      </w:r>
    </w:p>
    <w:p w14:paraId="4E40CDB9"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27210DE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val="es-ES_tradnl" w:eastAsia="es-MX"/>
        </w:rPr>
      </w:pPr>
      <w:r w:rsidRPr="002E074E">
        <w:rPr>
          <w:rFonts w:ascii="Arial" w:hAnsi="Arial" w:cs="Arial"/>
          <w:bCs/>
          <w:sz w:val="24"/>
          <w:szCs w:val="24"/>
          <w:u w:color="000000"/>
          <w:bdr w:val="nil"/>
          <w:lang w:val="es-ES_tradnl" w:eastAsia="es-MX"/>
        </w:rPr>
        <w:t>Por cuanto al Capítulo Único del Título Décimo, como consecuencia al hablar de dos hipótesis diversas-medidas de apremio y sanciones- por técnica legislativa se debe de dividir en dos capítulos, el primero denominado CAPÍTULO PRIMERO DE LAS MEDIDAS DE APREMIO, y el CAPÍTULO SEGUNDO DE LAS SANCIONES.</w:t>
      </w:r>
    </w:p>
    <w:p w14:paraId="3A1FD6C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modifica el artículo 156 en la palabra sancionatorio por sancionador, pues el término correcto, así mismo se hace la precisión de la aplicabilidad supletoria de la Ley de Procedimiento Administrativo para el Estado de Morelos.</w:t>
      </w:r>
    </w:p>
    <w:p w14:paraId="7280358F"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3B93ACE7"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Se propone agregar el artículo 173 que refiere que el Pleno del Instituto deberá elaborar el Reglamento respectivo para implementar el Servicio Profesional Civil de Carrera del personal a su servicio.</w:t>
      </w:r>
    </w:p>
    <w:p w14:paraId="2B5D00CC"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29F454A6"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Dentro del proyecto de dictamen se propone adicionar un artículo transitorio: el sexto, que va relacionado con la ampliación al presupuesto por parte del Ejecutivo para la consecución y metas planteadas por el Instituto, presupuesto que serán en forma permanente.</w:t>
      </w:r>
    </w:p>
    <w:p w14:paraId="596F5BEF" w14:textId="77777777" w:rsidR="004135A0" w:rsidRPr="002E074E" w:rsidRDefault="004135A0" w:rsidP="00E85802">
      <w:pPr>
        <w:spacing w:after="0" w:line="240" w:lineRule="auto"/>
        <w:jc w:val="both"/>
        <w:rPr>
          <w:rFonts w:ascii="Arial" w:eastAsia="Times New Roman" w:hAnsi="Arial" w:cs="Arial"/>
          <w:bCs/>
          <w:sz w:val="24"/>
          <w:szCs w:val="24"/>
          <w:lang w:val="es-ES" w:eastAsia="es-ES"/>
        </w:rPr>
      </w:pPr>
    </w:p>
    <w:p w14:paraId="1D60232C"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Facultad de modificación concerniente a las Comisiones, contenida en la fracción III, del artículo 106, del Reglamento para el Congreso del Estado de Morelos, no </w:t>
      </w:r>
      <w:proofErr w:type="gramStart"/>
      <w:r w:rsidRPr="002E074E">
        <w:rPr>
          <w:rFonts w:ascii="Arial" w:eastAsia="Times New Roman" w:hAnsi="Arial" w:cs="Arial"/>
          <w:bCs/>
          <w:sz w:val="24"/>
          <w:szCs w:val="24"/>
          <w:lang w:val="es-ES" w:eastAsia="es-ES"/>
        </w:rPr>
        <w:t>obstante</w:t>
      </w:r>
      <w:proofErr w:type="gramEnd"/>
      <w:r w:rsidRPr="002E074E">
        <w:rPr>
          <w:rFonts w:ascii="Arial" w:eastAsia="Times New Roman" w:hAnsi="Arial" w:cs="Arial"/>
          <w:bCs/>
          <w:sz w:val="24"/>
          <w:szCs w:val="24"/>
          <w:lang w:val="es-ES" w:eastAsia="es-ES"/>
        </w:rPr>
        <w:t xml:space="preserve"> de esto, la argumentación aludida descansa y tiene sustento en el siguiente criterio emitido por el Poder Judicial de la Federación:</w:t>
      </w:r>
    </w:p>
    <w:p w14:paraId="0C3211AD"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77DCC048" w14:textId="77777777" w:rsidR="00E85802" w:rsidRDefault="00E85802" w:rsidP="00E85802">
      <w:pPr>
        <w:spacing w:after="0" w:line="240" w:lineRule="auto"/>
        <w:contextualSpacing/>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Tesis de jurisprudencia de la Primera Sala de la Suprema Corte de Justicia de la Nación, visible en el Semanario Judicial de la Federación y su Gaceta, tomo XXXIII-abril de 2011, página 228, mismo que es del rubro y textos siguientes:    </w:t>
      </w:r>
    </w:p>
    <w:p w14:paraId="51D91111" w14:textId="228BFF3B" w:rsidR="00E85802" w:rsidRDefault="00E85802" w:rsidP="00E85802">
      <w:pPr>
        <w:spacing w:after="0" w:line="240" w:lineRule="auto"/>
        <w:contextualSpacing/>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14:paraId="0F709305"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CC4D21F" w14:textId="77777777" w:rsidR="00E85802" w:rsidRDefault="00E85802" w:rsidP="00E85802">
      <w:pPr>
        <w:tabs>
          <w:tab w:val="center" w:pos="3968"/>
          <w:tab w:val="left" w:pos="6330"/>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lo anteriormente expuesto, esta LIII Legislatura ha tenido a bien expedir el siguiente:</w:t>
      </w:r>
    </w:p>
    <w:p w14:paraId="55BDEF03" w14:textId="77777777" w:rsidR="00E85802" w:rsidRPr="002E074E" w:rsidRDefault="00E85802" w:rsidP="00E85802">
      <w:pPr>
        <w:tabs>
          <w:tab w:val="center" w:pos="3968"/>
          <w:tab w:val="left" w:pos="6330"/>
        </w:tabs>
        <w:spacing w:after="0" w:line="240" w:lineRule="auto"/>
        <w:jc w:val="both"/>
        <w:rPr>
          <w:rFonts w:ascii="Arial" w:eastAsia="Times New Roman" w:hAnsi="Arial" w:cs="Arial"/>
          <w:bCs/>
          <w:sz w:val="24"/>
          <w:szCs w:val="24"/>
          <w:lang w:val="es-ES" w:eastAsia="es-ES"/>
        </w:rPr>
      </w:pPr>
    </w:p>
    <w:p w14:paraId="72873AC0" w14:textId="77777777" w:rsidR="00E85802" w:rsidRDefault="00E85802" w:rsidP="00E85802">
      <w:pPr>
        <w:tabs>
          <w:tab w:val="center" w:pos="3968"/>
          <w:tab w:val="left" w:pos="6330"/>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LA LEY DE TRANSPARENCIA Y ACCESO A LA INFORMACIÓN PÚBLICA DEL ESTADO DE MORELOS.</w:t>
      </w:r>
    </w:p>
    <w:p w14:paraId="48E5D0D5" w14:textId="77777777" w:rsidR="00E85802" w:rsidRPr="002E074E" w:rsidRDefault="00E85802" w:rsidP="00E85802">
      <w:pPr>
        <w:tabs>
          <w:tab w:val="center" w:pos="3968"/>
          <w:tab w:val="left" w:pos="6330"/>
        </w:tabs>
        <w:spacing w:after="0" w:line="240" w:lineRule="auto"/>
        <w:jc w:val="both"/>
        <w:rPr>
          <w:rFonts w:ascii="Arial" w:eastAsia="Times New Roman" w:hAnsi="Arial" w:cs="Arial"/>
          <w:bCs/>
          <w:sz w:val="24"/>
          <w:szCs w:val="24"/>
          <w:lang w:val="es-ES" w:eastAsia="es-ES"/>
        </w:rPr>
      </w:pPr>
    </w:p>
    <w:p w14:paraId="33896999" w14:textId="77777777" w:rsidR="00E85802" w:rsidRDefault="00E85802" w:rsidP="00E85802">
      <w:pPr>
        <w:spacing w:after="0" w:line="240" w:lineRule="auto"/>
        <w:jc w:val="both"/>
        <w:outlineLvl w:val="0"/>
        <w:rPr>
          <w:rFonts w:ascii="Arial" w:eastAsia="Arial Unicode MS" w:hAnsi="Arial" w:cs="Arial"/>
          <w:sz w:val="24"/>
          <w:szCs w:val="24"/>
          <w:u w:color="000000"/>
          <w:lang w:eastAsia="es-MX"/>
        </w:rPr>
      </w:pPr>
      <w:r w:rsidRPr="004135A0">
        <w:rPr>
          <w:rFonts w:ascii="Arial" w:eastAsia="Arial Unicode MS" w:hAnsi="Arial" w:cs="Arial"/>
          <w:b/>
          <w:bCs/>
          <w:sz w:val="24"/>
          <w:szCs w:val="24"/>
          <w:u w:color="000000"/>
          <w:lang w:eastAsia="es-MX"/>
        </w:rPr>
        <w:lastRenderedPageBreak/>
        <w:t xml:space="preserve">ARTÍCULO </w:t>
      </w:r>
      <w:proofErr w:type="gramStart"/>
      <w:r w:rsidRPr="004135A0">
        <w:rPr>
          <w:rFonts w:ascii="Arial" w:eastAsia="Arial Unicode MS" w:hAnsi="Arial" w:cs="Arial"/>
          <w:b/>
          <w:bCs/>
          <w:sz w:val="24"/>
          <w:szCs w:val="24"/>
          <w:u w:color="000000"/>
          <w:lang w:eastAsia="es-MX"/>
        </w:rPr>
        <w:t>ÚNICO.-</w:t>
      </w:r>
      <w:proofErr w:type="gramEnd"/>
      <w:r w:rsidRPr="002E074E">
        <w:rPr>
          <w:rFonts w:ascii="Arial" w:eastAsia="Arial Unicode MS" w:hAnsi="Arial" w:cs="Arial"/>
          <w:sz w:val="24"/>
          <w:szCs w:val="24"/>
          <w:u w:color="000000"/>
          <w:lang w:eastAsia="es-MX"/>
        </w:rPr>
        <w:t xml:space="preserve"> SE EXPIDE LA</w:t>
      </w:r>
      <w:r>
        <w:rPr>
          <w:rFonts w:ascii="Arial" w:eastAsia="Arial Unicode MS" w:hAnsi="Arial" w:cs="Arial"/>
          <w:sz w:val="24"/>
          <w:szCs w:val="24"/>
          <w:u w:color="000000"/>
          <w:lang w:eastAsia="es-MX"/>
        </w:rPr>
        <w:t xml:space="preserve"> </w:t>
      </w:r>
      <w:r w:rsidRPr="002E074E">
        <w:rPr>
          <w:rFonts w:ascii="Arial" w:eastAsia="Arial Unicode MS" w:hAnsi="Arial" w:cs="Arial"/>
          <w:sz w:val="24"/>
          <w:szCs w:val="24"/>
          <w:u w:color="000000"/>
          <w:lang w:eastAsia="es-MX"/>
        </w:rPr>
        <w:t>LEY DE TRANSPARENCIA Y ACCESO A LA INFORMACIÓN PÚBLICA DEL ESTADO DE MORELOS, para quedar como sigue:</w:t>
      </w:r>
    </w:p>
    <w:p w14:paraId="39A4F3D7" w14:textId="77777777" w:rsidR="00E85802" w:rsidRPr="002E074E" w:rsidRDefault="00E85802" w:rsidP="00E85802">
      <w:pPr>
        <w:spacing w:after="0" w:line="240" w:lineRule="auto"/>
        <w:jc w:val="both"/>
        <w:outlineLvl w:val="0"/>
        <w:rPr>
          <w:rFonts w:ascii="Arial" w:eastAsia="Arial Unicode MS" w:hAnsi="Arial" w:cs="Arial"/>
          <w:sz w:val="24"/>
          <w:szCs w:val="24"/>
          <w:u w:color="000000"/>
          <w:lang w:eastAsia="es-MX"/>
        </w:rPr>
      </w:pPr>
    </w:p>
    <w:p w14:paraId="082B501B" w14:textId="77777777" w:rsidR="00E85802" w:rsidRPr="004135A0" w:rsidRDefault="00E85802" w:rsidP="004135A0">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4135A0">
        <w:rPr>
          <w:rFonts w:ascii="Arial" w:hAnsi="Arial" w:cs="Arial"/>
          <w:b/>
          <w:bCs/>
          <w:sz w:val="24"/>
          <w:szCs w:val="24"/>
          <w:u w:color="000000"/>
          <w:bdr w:val="nil"/>
          <w:lang w:eastAsia="es-MX"/>
        </w:rPr>
        <w:t>LEY DE TRANSPARENCIA Y ACCESO A LA INFORMACIÓN PÚBLICA DEL ESTADO DE MORELOS.</w:t>
      </w:r>
    </w:p>
    <w:p w14:paraId="00ACDCDA" w14:textId="77777777" w:rsidR="00E85802" w:rsidRPr="0066448D"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02A13DCA" w14:textId="77777777" w:rsidR="00E85802" w:rsidRPr="0066448D"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TÍTULO PRIMERO</w:t>
      </w:r>
    </w:p>
    <w:p w14:paraId="7ECC1066" w14:textId="77777777" w:rsidR="00E85802" w:rsidRPr="0066448D"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DISPOSICIONES GENERALES</w:t>
      </w:r>
    </w:p>
    <w:p w14:paraId="759E1039" w14:textId="77777777" w:rsidR="00E85802" w:rsidRPr="0066448D"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4BE15344" w14:textId="77777777" w:rsidR="00E85802" w:rsidRPr="0066448D"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CAPITULO I</w:t>
      </w:r>
    </w:p>
    <w:p w14:paraId="1E443B96" w14:textId="77777777" w:rsidR="00E85802" w:rsidRPr="0066448D"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6448D">
        <w:rPr>
          <w:rFonts w:ascii="Arial" w:hAnsi="Arial" w:cs="Arial"/>
          <w:b/>
          <w:bCs/>
          <w:sz w:val="24"/>
          <w:szCs w:val="24"/>
          <w:u w:color="000000"/>
          <w:bdr w:val="nil"/>
          <w:lang w:eastAsia="es-MX"/>
        </w:rPr>
        <w:t>DEL OBJETO DE LA LEY Y SU INTERPRETACIÓN</w:t>
      </w:r>
    </w:p>
    <w:p w14:paraId="3AAEA1D7"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8837F5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6448D">
        <w:rPr>
          <w:rFonts w:ascii="Arial" w:hAnsi="Arial" w:cs="Arial"/>
          <w:b/>
          <w:bCs/>
          <w:sz w:val="24"/>
          <w:szCs w:val="24"/>
          <w:u w:color="000000"/>
          <w:bdr w:val="nil"/>
          <w:lang w:eastAsia="es-MX"/>
        </w:rPr>
        <w:t>Artículo 1.</w:t>
      </w:r>
      <w:r w:rsidRPr="002E074E">
        <w:rPr>
          <w:rFonts w:ascii="Arial" w:hAnsi="Arial" w:cs="Arial"/>
          <w:sz w:val="24"/>
          <w:szCs w:val="24"/>
          <w:u w:color="000000"/>
          <w:bdr w:val="nil"/>
          <w:lang w:eastAsia="es-MX"/>
        </w:rPr>
        <w:t xml:space="preserve"> La presente Ley es de orden público e interés social y de observancia general en el estado de Morelos, en materia de derecho de acceso a la información, transparencia y rendición de cuentas, es reglamentaria de los artículos 2º y 23-A, de la Constitución Política del Estado Libre y Soberano de Morelos.</w:t>
      </w:r>
    </w:p>
    <w:p w14:paraId="47B9C67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D0069A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Esta Ley tutela el derecho humano de acceso a la información pública de todas las personas; la transparencia en el ejercicio de la función pública; y regula la formulación, producción, procesamiento, administración y difusión de las estadísticas, sondeos y encuestas; fomenta, promueve e incentiva los principios de gobierno abierto y la participación ciudadana, que se requieran para la toma de decisiones y el cumplimiento de las funciones legales.</w:t>
      </w:r>
    </w:p>
    <w:p w14:paraId="53E0EC2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6D0638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Tiene por objeto establecer los principios y procedimientos para garantizar el derecho humano de acceso a la información en posesión de cualquier autoridad, entidad, órgano y organismo de los poderes Legislativo, Ejecutivo y Judicial, Órganos Autónomos, Partidos Políticos, Fideicomisos, fondos públicos y Municipios, así como de cualquier persona física, moral o sindicato que reciba y ejerza recursos públicos o realice actos de autoridad en el estado de Morelos.</w:t>
      </w:r>
    </w:p>
    <w:p w14:paraId="3386A681"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FAE7DE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6448D">
        <w:rPr>
          <w:rFonts w:ascii="Arial" w:hAnsi="Arial" w:cs="Arial"/>
          <w:b/>
          <w:bCs/>
          <w:sz w:val="24"/>
          <w:szCs w:val="24"/>
          <w:u w:color="000000"/>
          <w:bdr w:val="nil"/>
          <w:lang w:eastAsia="es-MX"/>
        </w:rPr>
        <w:t>Artículo 2.</w:t>
      </w:r>
      <w:r w:rsidRPr="002E074E">
        <w:rPr>
          <w:rFonts w:ascii="Arial" w:hAnsi="Arial" w:cs="Arial"/>
          <w:sz w:val="24"/>
          <w:szCs w:val="24"/>
          <w:u w:color="000000"/>
          <w:bdr w:val="nil"/>
          <w:lang w:eastAsia="es-MX"/>
        </w:rPr>
        <w:t xml:space="preserve"> Son objetivos específicos de esta Ley:</w:t>
      </w:r>
    </w:p>
    <w:p w14:paraId="7420D4F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A97F87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Consolidar el estado democrático y de derecho en el estado de Morelos;</w:t>
      </w:r>
    </w:p>
    <w:p w14:paraId="23234E7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Garantizar el ejercicio del derecho humano de acceso a la información pública;</w:t>
      </w:r>
    </w:p>
    <w:p w14:paraId="1C84DF6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III. Establecer los mecanismos de coordinación entre los distintos sujetos obligados regulados por la presente Ley;</w:t>
      </w:r>
    </w:p>
    <w:p w14:paraId="307C300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Establecer y regular la integración, competencias y atribuciones del Instituto y el Consejo Consultivo;</w:t>
      </w:r>
    </w:p>
    <w:p w14:paraId="274BC88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Facultar el ejercicio de los medios de impugnación y procedimientos para la interposición de acciones de inconstitucionalidad por parte del Instituto;</w:t>
      </w:r>
    </w:p>
    <w:p w14:paraId="21579A5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Garantizar la observancia de los principios y bases en la presente Ley y demás disposiciones que resulten aplicables en la materia;</w:t>
      </w:r>
    </w:p>
    <w:p w14:paraId="38C7B14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Regular y asegurar procedimientos sencillos y expeditos para acceder a la información pública, así como a sus datos personales;</w:t>
      </w:r>
    </w:p>
    <w:p w14:paraId="5FE9A05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Promover la transparencia en el ejercicio de la función pública y de los recursos públicos, así como la rendición de cuentas, mediante la implementación de políticas públicas que garanticen un flujo de información oportuna, verificable, comprensible, actualizada y completa en formatos adecuados y accesibles en congruencia con el principio de máxima publicidad;</w:t>
      </w:r>
    </w:p>
    <w:p w14:paraId="20B889B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Establecer mecanismos con las autoridades competentes a efecto de lograr una adecuada administración, organización y conservación de documentos que facilite el ejercicio del derecho de acceso a la información;</w:t>
      </w:r>
    </w:p>
    <w:p w14:paraId="6286F03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Organizar con criterios científicos y técnicos adecuados y bajo los principios de imparcialidad, </w:t>
      </w:r>
      <w:r w:rsidRPr="002E074E">
        <w:rPr>
          <w:rFonts w:ascii="Arial" w:hAnsi="Arial" w:cs="Arial"/>
          <w:w w:val="90"/>
          <w:sz w:val="24"/>
          <w:szCs w:val="24"/>
          <w:u w:color="000000"/>
          <w:bdr w:val="nil"/>
          <w:lang w:eastAsia="es-MX"/>
        </w:rPr>
        <w:t xml:space="preserve">confiabilidad, periodicidad, oportunidad e independencia, la formulación, producción, </w:t>
      </w:r>
      <w:r w:rsidRPr="002E074E">
        <w:rPr>
          <w:rFonts w:ascii="Arial" w:hAnsi="Arial" w:cs="Arial"/>
          <w:sz w:val="24"/>
          <w:szCs w:val="24"/>
          <w:u w:color="000000"/>
          <w:bdr w:val="nil"/>
          <w:lang w:eastAsia="es-MX"/>
        </w:rPr>
        <w:t>sistematización, procesamiento y difusión de las estadísticas, sondeos y encuestas relacionadas con el ejercicio de las funciones que corresponden a las entidades públicas estatales y municipales;</w:t>
      </w:r>
    </w:p>
    <w:p w14:paraId="6DBB430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eastAsia="Times New Roman" w:hAnsi="Arial" w:cs="Arial"/>
          <w:sz w:val="24"/>
          <w:szCs w:val="24"/>
          <w:u w:color="000000"/>
          <w:lang w:eastAsia="es-MX"/>
        </w:rPr>
        <w:t>XI. Contribuir a la rendición de cuentas de los poderes públicos entre sí, y a la promoción de manera permanente la cultura de la transparencia, el acceso a la información pública, el gobierno abierto, la rendición de cuentas, la participación ciudadana y comunitaria, la accesibilidad y la innovación tecnológica hacia los ciudadanos y la sociedad</w:t>
      </w:r>
      <w:r w:rsidRPr="002E074E">
        <w:rPr>
          <w:rFonts w:ascii="Arial" w:hAnsi="Arial" w:cs="Arial"/>
          <w:sz w:val="24"/>
          <w:szCs w:val="24"/>
          <w:u w:color="000000"/>
          <w:bdr w:val="nil"/>
          <w:lang w:eastAsia="es-MX"/>
        </w:rPr>
        <w:t>;</w:t>
      </w:r>
    </w:p>
    <w:p w14:paraId="4408435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Regular la instrumentación del principio de máxima publicidad de los actos, normas, trámites, procedimientos y decisiones de los sujetos obligados e incentivar la participación ciudadana y comunitaria;</w:t>
      </w:r>
    </w:p>
    <w:p w14:paraId="0C0BE63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Contribuir al establecimiento y desarrollo del Estado social y democrático de derecho, a la promoción de la educación y cultura cívica democrática y al mejoramiento de la vida y convivencia social;</w:t>
      </w:r>
    </w:p>
    <w:p w14:paraId="3F8C0A7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Propiciar la participación ciudadana en la toma de decisiones públicas a fin de contribuir a la consolidación de la democracia, y</w:t>
      </w:r>
    </w:p>
    <w:p w14:paraId="7A79AD4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XV. Establecer los mecanismos para garantizar el cumplimiento y la efectiva aplicación de las medidas de apremio y las sanciones que correspondan.</w:t>
      </w:r>
    </w:p>
    <w:p w14:paraId="28F94BEB"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EE2490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6448D">
        <w:rPr>
          <w:rFonts w:ascii="Arial" w:hAnsi="Arial" w:cs="Arial"/>
          <w:b/>
          <w:bCs/>
          <w:sz w:val="24"/>
          <w:szCs w:val="24"/>
          <w:u w:color="000000"/>
          <w:bdr w:val="nil"/>
          <w:lang w:eastAsia="es-MX"/>
        </w:rPr>
        <w:t>Artículo 3.</w:t>
      </w:r>
      <w:r w:rsidRPr="002E074E">
        <w:rPr>
          <w:rFonts w:ascii="Arial" w:hAnsi="Arial" w:cs="Arial"/>
          <w:sz w:val="24"/>
          <w:szCs w:val="24"/>
          <w:u w:color="000000"/>
          <w:bdr w:val="nil"/>
          <w:lang w:eastAsia="es-MX"/>
        </w:rPr>
        <w:t xml:space="preserve"> Para efectos de esta Ley se entiende por:</w:t>
      </w:r>
    </w:p>
    <w:p w14:paraId="4A1805B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69FAFE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Ajustes Razonables, a las modificaciones y adaptaciones necesarias y adecuadas que no impongan una carga desproporcionada o indebida, cuando se requieran en un caso particular, para garantizar a las personas con discapacidad el goce o ejercicio, en igualdad de condiciones, de los derechos humanos;</w:t>
      </w:r>
    </w:p>
    <w:p w14:paraId="072CA8E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Áreas, a las instancias que cuentan o puedan contar con la información. Tratándose del sector público, serán aquellas que estén previstas en el reglamento interior, estatuto orgánico respectivo o equivalentes;</w:t>
      </w:r>
    </w:p>
    <w:p w14:paraId="5759952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Autoridades Auxiliares, a las autoridades auxiliares municipales nombradas por los Ayuntamientos, escuchando previamente la opinión de los ciudadanos;</w:t>
      </w:r>
    </w:p>
    <w:p w14:paraId="22BB686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Comisionado, a cada uno de los integrantes del Pleno del Instituto;</w:t>
      </w:r>
    </w:p>
    <w:p w14:paraId="0AA05D6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Comité de Transparencia: a la instancia a la que se hace referencia en el artículo 22 de la presente Ley;</w:t>
      </w:r>
    </w:p>
    <w:p w14:paraId="452D190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Congreso, a la Asamblea depositaria del Poder Legislativo, en términos de lo dispuesto por el artículo 24 de la Constitución Política del Estado Libre y Soberano de Morelos;</w:t>
      </w:r>
    </w:p>
    <w:p w14:paraId="6E261A1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Entidad, a la Entidad Superior de Auditoría y Fiscalización del Congreso del Estado;</w:t>
      </w:r>
    </w:p>
    <w:p w14:paraId="46C43B4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Datos abiertos, a los datos digitales de carácter público que son accesibles en línea que pueden ser usados, reutilizados y redistribuidos por cualquier interesado y que tienen las siguientes características:</w:t>
      </w:r>
    </w:p>
    <w:p w14:paraId="7121DDFD"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Accesibles: Los datos están disponibles para la gama más amplia de usuarios, para cualquier propósito;</w:t>
      </w:r>
    </w:p>
    <w:p w14:paraId="3B4E27A6"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Integrales: Contienen el tema que describen a detalle y con los metadatos necesarios;</w:t>
      </w:r>
    </w:p>
    <w:p w14:paraId="4053E525"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Gratuitos: Se obtienen sin entregar a cambio contraprestación alguna;</w:t>
      </w:r>
    </w:p>
    <w:p w14:paraId="6D8A8E1C"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No discriminatorios: Los datos están disponibles para cualquier persona, sin necesidad de registro;</w:t>
      </w:r>
    </w:p>
    <w:p w14:paraId="777AC7EC"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w w:val="90"/>
          <w:sz w:val="24"/>
          <w:szCs w:val="24"/>
          <w:u w:color="000000"/>
          <w:bdr w:val="nil"/>
          <w:lang w:eastAsia="es-MX"/>
        </w:rPr>
        <w:t>e) Oportunos: Son actualizados,</w:t>
      </w:r>
      <w:r w:rsidRPr="002E074E">
        <w:rPr>
          <w:rFonts w:ascii="Arial" w:hAnsi="Arial" w:cs="Arial"/>
          <w:sz w:val="24"/>
          <w:szCs w:val="24"/>
          <w:u w:color="000000"/>
          <w:bdr w:val="nil"/>
          <w:lang w:eastAsia="es-MX"/>
        </w:rPr>
        <w:t xml:space="preserve"> periódicamente, conforme se generen;</w:t>
      </w:r>
    </w:p>
    <w:p w14:paraId="3C549D66"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Permanentes: Se conservan en el tiempo, para lo cual, las versiones históricas relevantes para uso público se mantendrán disponibles con identificadores adecuados al efecto;</w:t>
      </w:r>
    </w:p>
    <w:p w14:paraId="152724DA"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g) Primarios: Provienen de la fuente de origen con el máximo nivel de desagregación posible;</w:t>
      </w:r>
    </w:p>
    <w:p w14:paraId="19BD8E06"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Legibles por máquinas: Deberán estar estructurados, total o parcialmente, para ser procesados e interpretados por equipos electrónicos de manera automática;</w:t>
      </w:r>
    </w:p>
    <w:p w14:paraId="17FE32F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En formatos abiertos: Los datos estarán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p>
    <w:p w14:paraId="0DF58C0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De libre uso: Citan la fuente de origen como único requerimiento para ser utilizados libremente.</w:t>
      </w:r>
    </w:p>
    <w:p w14:paraId="200932F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Documento, a los expedientes, reportes, estudios, actas, resoluciones, oficios, correspondencia, acuerdos, directivas, directrices, circulares, contratos, convenios, instructivos, notas, memorandos, estadísticas o bien, cualquier otro registro que haga constar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w:t>
      </w:r>
    </w:p>
    <w:p w14:paraId="1BF532C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Expediente, a la unidad documental constituida por uno o varios documentos de archivo, ordenados y relacionados por un mismo asunto, actividad o trámite de los sujetos obligados;</w:t>
      </w:r>
    </w:p>
    <w:p w14:paraId="28AAD31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Formatos Abiertos, al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14:paraId="3C70F36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Formatos Accesibles, a los que de cualquier manera o forma alternativa den acceso a los solicitantes de información, en forma tan viable y cómoda como la de las personas sin discapacidad ni otras dificultades para acceder a cualquier texto impreso o cualquier otro formato convencional en el que la información pueda encontrarse;</w:t>
      </w:r>
    </w:p>
    <w:p w14:paraId="5437367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XIII. Gobierno Abierto, al espacio para la construcción de consensos entre sociedad e instituciones públicas para dar salida conjunta a los retos y desafíos de las democracias contemporáneas. La noción de Gobierno Abierto debe referir </w:t>
      </w:r>
      <w:r w:rsidRPr="002E074E">
        <w:rPr>
          <w:rFonts w:ascii="Arial" w:hAnsi="Arial" w:cs="Arial"/>
          <w:sz w:val="24"/>
          <w:szCs w:val="24"/>
          <w:u w:color="000000"/>
          <w:bdr w:val="nil"/>
          <w:lang w:eastAsia="es-MX"/>
        </w:rPr>
        <w:lastRenderedPageBreak/>
        <w:t>a una nueva forma de trabajo que permite incorporar los principios, políticas o acciones de transparencia, acceso a la información, participación ciudadana orientadas a lograr niveles de apertura y colaboración que permitan generar beneficios colectivos;</w:t>
      </w:r>
    </w:p>
    <w:p w14:paraId="6530A6C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Información de interés público, a la que resulta relevante o beneficiosa para la sociedad y no simplemente de interés individual, cuya divulgación resulta útil para que el público comprenda las actividades que llevan a cabo los Sujetos Obligados;</w:t>
      </w:r>
    </w:p>
    <w:p w14:paraId="167BFC3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Instituto, al Instituto Morelense de Información Pública y Estadística;</w:t>
      </w:r>
    </w:p>
    <w:p w14:paraId="2D867EA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INAI, al Instituto Nacional de Transparencia, Acceso a la Información y Protección de Datos Personales;</w:t>
      </w:r>
    </w:p>
    <w:p w14:paraId="1BB49B0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Junta, a la Junta Política y de Gobierno, órgano político del Congreso;</w:t>
      </w:r>
    </w:p>
    <w:p w14:paraId="7AABA89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Ley, a esta Ley de Transparencia y Acceso a la Información Pública del Estado de Morelos;</w:t>
      </w:r>
    </w:p>
    <w:p w14:paraId="266F954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Ley General, a la Ley General de Transparencia y Acceso a la Información Pública;</w:t>
      </w:r>
    </w:p>
    <w:p w14:paraId="21BE985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 Plataforma Electrónica, a la Plataforma Electrónica de Transparencia a que hace referencia el artículo 33 de la presente Ley;</w:t>
      </w:r>
    </w:p>
    <w:p w14:paraId="27E7096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Servidores Públicos, a los mencionados en el párrafo segundo del artículo 134 de la Constitución Política del Estado Libre y Soberano del Estado de Morelos;</w:t>
      </w:r>
    </w:p>
    <w:p w14:paraId="655FF54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Sistema Nacional, al Sistema Nacional de Transparencia, Acceso a la Información y Protección de Datos Personales;</w:t>
      </w:r>
    </w:p>
    <w:p w14:paraId="2D5093B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XXIII. Sujetos Obligados, a cualquier autoridad, entidad, órgano y organismo de los poderes Legislativo, Ejecutivo y Judicial, órganos autónomos, partidos políticos, fideicomisos, fondos públicos y municipios, así como de cualquier persona física, moral o sindicato que reciba y ejerza recursos públicos o realice actos de autoridad en el estado de Morelos; </w:t>
      </w:r>
    </w:p>
    <w:p w14:paraId="074053F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XXIV. Unidad de Transparencia, a la instancia a la que hace referencia en el artículo 26 de esta Ley;</w:t>
      </w:r>
    </w:p>
    <w:p w14:paraId="49E1D4D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 Versión Pública, al documento o expediente en el que se da acceso a información eliminando u omitiendo las partes o secciones clasificadas;</w:t>
      </w:r>
    </w:p>
    <w:p w14:paraId="77AF191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 Información Reservada, a aquella clasificada con carácter temporal como restringida al acceso del público, y</w:t>
      </w:r>
    </w:p>
    <w:p w14:paraId="1362712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XXVII. Información Confidencial, a la que contiene datos personales relativos a las características físicas, morales o emocionales, origen étnico o racial, </w:t>
      </w:r>
      <w:r w:rsidRPr="002E074E">
        <w:rPr>
          <w:rFonts w:ascii="Arial" w:hAnsi="Arial" w:cs="Arial"/>
          <w:sz w:val="24"/>
          <w:szCs w:val="24"/>
          <w:u w:color="000000"/>
          <w:bdr w:val="nil"/>
          <w:lang w:eastAsia="es-MX"/>
        </w:rPr>
        <w:lastRenderedPageBreak/>
        <w:t>domicilio, vida familiar, privada, íntima y afectiva, patrimonio, número telefónico, correo electrónico, ideología, opiniones políticas, preferencias sexuales y toda aquella información susceptible de ser tutelada por los derechos humanos a la privacidad, intimidad, honor y dignidad, que se encuentra en posesión de alguno de los Sujetos Obligados y sobre la que no puede realizarse ningún acto o hecho sin la autorización debida de los titulares o sus representantes legales.</w:t>
      </w:r>
    </w:p>
    <w:p w14:paraId="429BD14A"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6EB8E1D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4.</w:t>
      </w:r>
      <w:r w:rsidRPr="002E074E">
        <w:rPr>
          <w:rFonts w:ascii="Arial" w:hAnsi="Arial" w:cs="Arial"/>
          <w:sz w:val="24"/>
          <w:szCs w:val="24"/>
          <w:u w:color="000000"/>
          <w:bdr w:val="nil"/>
          <w:lang w:eastAsia="es-MX"/>
        </w:rPr>
        <w:t xml:space="preserve"> El derecho humano de acceso a la información comprende: solicitar, investigar, difundir, buscar y recibir información.</w:t>
      </w:r>
    </w:p>
    <w:p w14:paraId="45BCECC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BD3F83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Toda la información generada, obtenida, adquirida, transformada o en posesión de los Sujetos Obligados se considera un bien público que debe estar a disposición de cualquier persona como titular de la misma, en los términos y condiciones que se establezcan en la presente Ley, en los Tratados Internacionales de los que el Estado mexicano sea parte, la Ley General y la normativa aplicable; salvo aquella que por la afectación de los derechos de terceros y excepciones previstas en la presente Ley, deba resguardarse por su carácter reservado o confidencial.</w:t>
      </w:r>
    </w:p>
    <w:p w14:paraId="16C0EB9A" w14:textId="77777777" w:rsidR="004135A0" w:rsidRPr="002E074E" w:rsidRDefault="004135A0"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DE5333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Ninguna persona requiere acreditar interés jurídico ni legítimo o justificación alguna para ejercer el derecho humano de acceso a la información pública; tampoco será objeto de inquisición judicial o administrativa en su ejercicio, ni se podrá restringir este derecho por vías o medios directos e indirectos.</w:t>
      </w:r>
    </w:p>
    <w:p w14:paraId="2CEB70E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F57C55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5.</w:t>
      </w:r>
      <w:r w:rsidRPr="002E074E">
        <w:rPr>
          <w:rFonts w:ascii="Arial" w:hAnsi="Arial" w:cs="Arial"/>
          <w:sz w:val="24"/>
          <w:szCs w:val="24"/>
          <w:u w:color="000000"/>
          <w:bdr w:val="nil"/>
          <w:lang w:eastAsia="es-MX"/>
        </w:rPr>
        <w:t xml:space="preserve"> No podrá clasificarse como reservada por motivo alguno aquella información prevista en el Título Quinto, Capítulos II y III de esta Ley, ni aquella información que esté relacionada con violaciones graves a derechos humanos, de conformidad con el marco jurídico nacional y los Tratados Internacionales de los que el Estado Mexicano sea parte.</w:t>
      </w:r>
    </w:p>
    <w:p w14:paraId="453A1F2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1CADE4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6.</w:t>
      </w:r>
      <w:r w:rsidRPr="002E074E">
        <w:rPr>
          <w:rFonts w:ascii="Arial" w:hAnsi="Arial" w:cs="Arial"/>
          <w:sz w:val="24"/>
          <w:szCs w:val="24"/>
          <w:u w:color="000000"/>
          <w:bdr w:val="nil"/>
          <w:lang w:eastAsia="es-MX"/>
        </w:rPr>
        <w:t xml:space="preserve"> Los servidores públicos y toda persona que formule, </w:t>
      </w:r>
      <w:proofErr w:type="gramStart"/>
      <w:r w:rsidRPr="002E074E">
        <w:rPr>
          <w:rFonts w:ascii="Arial" w:hAnsi="Arial" w:cs="Arial"/>
          <w:sz w:val="24"/>
          <w:szCs w:val="24"/>
          <w:u w:color="000000"/>
          <w:bdr w:val="nil"/>
          <w:lang w:eastAsia="es-MX"/>
        </w:rPr>
        <w:t>produzca</w:t>
      </w:r>
      <w:proofErr w:type="gramEnd"/>
      <w:r w:rsidRPr="002E074E">
        <w:rPr>
          <w:rFonts w:ascii="Arial" w:hAnsi="Arial" w:cs="Arial"/>
          <w:sz w:val="24"/>
          <w:szCs w:val="24"/>
          <w:u w:color="000000"/>
          <w:bdr w:val="nil"/>
          <w:lang w:eastAsia="es-MX"/>
        </w:rPr>
        <w:t>, procese, administre, archive y resguarde información pública es responsable de la misma y está obligado a permitir el ejercicio del derecho de acceso a la información pública en los términos de esta Ley.</w:t>
      </w:r>
    </w:p>
    <w:p w14:paraId="3EBD6CC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4040B1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7.</w:t>
      </w:r>
      <w:r w:rsidRPr="002E074E">
        <w:rPr>
          <w:rFonts w:ascii="Arial" w:hAnsi="Arial" w:cs="Arial"/>
          <w:sz w:val="24"/>
          <w:szCs w:val="24"/>
          <w:u w:color="000000"/>
          <w:bdr w:val="nil"/>
          <w:lang w:eastAsia="es-MX"/>
        </w:rPr>
        <w:t xml:space="preserve"> En la aplicación e interpretación de la presente Ley deberán prevalecer los principios de máxima publicidad y disponibilidad de la información, conforme a </w:t>
      </w:r>
      <w:r w:rsidRPr="002E074E">
        <w:rPr>
          <w:rFonts w:ascii="Arial" w:hAnsi="Arial" w:cs="Arial"/>
          <w:sz w:val="24"/>
          <w:szCs w:val="24"/>
          <w:u w:color="000000"/>
          <w:bdr w:val="nil"/>
          <w:lang w:eastAsia="es-MX"/>
        </w:rPr>
        <w:lastRenderedPageBreak/>
        <w:t>lo dispuesto en la Constitución Política de los Estados Unidos Mexicanos, en los Tratados Internacionales de los que el Estado Mexicano sea parte, en la Ley General, en la Constitución Política del Estado Libre y Soberano de Morelos, así como en las resoluciones, sentencias, determinaciones, decisiones, criterios y opiniones vinculantes, entre otros, que emitan los órganos internacionales especializados, privilegiando en todo momento la interpretación que más favorezca a los solicitantes.</w:t>
      </w:r>
    </w:p>
    <w:p w14:paraId="2A29DBD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2E40F0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D6D0D">
        <w:rPr>
          <w:rFonts w:ascii="Arial" w:hAnsi="Arial" w:cs="Arial"/>
          <w:b/>
          <w:bCs/>
          <w:sz w:val="24"/>
          <w:szCs w:val="24"/>
          <w:u w:color="000000"/>
          <w:bdr w:val="nil"/>
          <w:lang w:eastAsia="es-MX"/>
        </w:rPr>
        <w:t>Artículo 8.</w:t>
      </w:r>
      <w:r w:rsidRPr="002E074E">
        <w:rPr>
          <w:rFonts w:ascii="Arial" w:hAnsi="Arial" w:cs="Arial"/>
          <w:sz w:val="24"/>
          <w:szCs w:val="24"/>
          <w:u w:color="000000"/>
          <w:bdr w:val="nil"/>
          <w:lang w:eastAsia="es-MX"/>
        </w:rPr>
        <w:t xml:space="preserve"> El ejercicio del derecho de acceso a la información es gratuito, y sólo podrá requerirse el cobro correspondiente a la modalidad de reproducción y entrega solicitada, así como los derechos relativos a la expedición de copias certificadas, conforme a la normativa aplicable, sin que lo anterior signifique que los Ajustes Razonables que en su caso se realicen para el acceso de la información de solicitantes con discapacidad, serán con costo a los mismos.</w:t>
      </w:r>
    </w:p>
    <w:p w14:paraId="2220D79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                                   </w:t>
      </w:r>
    </w:p>
    <w:p w14:paraId="60FC364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leyes que establezcan los costos de reproducción y certificación, para efectos de acceso a la información, deberán considerar en su determinación que los montos permitan o faciliten el ejercicio de este derecho.</w:t>
      </w:r>
    </w:p>
    <w:p w14:paraId="69556F9B" w14:textId="77777777" w:rsidR="004135A0" w:rsidRPr="002E074E" w:rsidRDefault="004135A0"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6BAAA3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pago se realizará en cualquier oficina de la Secretaría de Hacienda del estado de Morelos, de las tesorerías municipales o en las instituciones financieras señaladas para tal efecto, y no podrá ser superior al costo de los materiales utilizados en la reproducción y al costo de envío, cuando corresponda, privilegiando el derecho humano de acceso a la información.</w:t>
      </w:r>
    </w:p>
    <w:p w14:paraId="021FEB5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D939A9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Cuando los Sujetos Obligados posean la información solicitada en medios electrónicos, deberán privilegiar el acceso gratuito a la misma. De estar de acuerdo el particular en que la entrega de la información se realice en el medio electrónico en el que se encuentra, se le enviará sin costo alguno, mediante correo electrónico o se le pondrá a su disposición la dirección electrónica completa del sitio donde se encuentra la información requerida, comunicándole los datos que le permitan acceder a la misma. </w:t>
      </w:r>
    </w:p>
    <w:p w14:paraId="429F02C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93A6E4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9.</w:t>
      </w:r>
      <w:r w:rsidRPr="002E074E">
        <w:rPr>
          <w:rFonts w:ascii="Arial" w:hAnsi="Arial" w:cs="Arial"/>
          <w:sz w:val="24"/>
          <w:szCs w:val="24"/>
          <w:u w:color="000000"/>
          <w:bdr w:val="nil"/>
          <w:lang w:eastAsia="es-MX"/>
        </w:rPr>
        <w:t xml:space="preserve"> Los Sujetos Obligados deberán documentar todos los actos y decisiones que deriven del ejercicio de sus facultades, competencias o funciones, considerando, desde su origen, la publicación y reutilización de la información.</w:t>
      </w:r>
    </w:p>
    <w:p w14:paraId="01A649E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Se presume que la información existe sí documenta las facultades o atribuciones que los ordenamientos jurídicos aplicables otorguen a los Sujetos Obligados.</w:t>
      </w:r>
    </w:p>
    <w:p w14:paraId="636EEDA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319FF05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10.</w:t>
      </w:r>
      <w:r w:rsidRPr="002E074E">
        <w:rPr>
          <w:rFonts w:ascii="Arial" w:hAnsi="Arial" w:cs="Arial"/>
          <w:sz w:val="24"/>
          <w:szCs w:val="24"/>
          <w:u w:color="000000"/>
          <w:bdr w:val="nil"/>
          <w:lang w:eastAsia="es-MX"/>
        </w:rPr>
        <w:t xml:space="preserve"> En caso de que los Sujetos Obligados no documenten sus actos y decisiones que deriven del ejercicio de sus facultades, competencias o funciones, deberán atender los requerimientos de acceso a la información que se les formulen explicando los mismos, o en su caso, demostrar que la información no se refiere a alguna de sus facultades, competencias o funciones.</w:t>
      </w:r>
    </w:p>
    <w:p w14:paraId="5FD51D2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DCBC38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los casos en que ciertas facultades, competencias o funciones no se hayan ejercido, se debe motivar y fundamentar la respuesta en función de las disposiciones jurídicas normativas que prevean tal situación.</w:t>
      </w:r>
    </w:p>
    <w:p w14:paraId="5D17BBA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2879BD5"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CAPÍTULO II</w:t>
      </w:r>
    </w:p>
    <w:p w14:paraId="57723F3A"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 LOS PRINCIPIOS RECTORES</w:t>
      </w:r>
    </w:p>
    <w:p w14:paraId="54F06FDB" w14:textId="77777777" w:rsidR="00E85802" w:rsidRPr="007656D1"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270011F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11.</w:t>
      </w:r>
      <w:r w:rsidRPr="007656D1">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El Instituto y los Sujetos Obligados por esta Ley, deberán regir su funcionamiento de acuerdo a los principios siguientes:</w:t>
      </w:r>
    </w:p>
    <w:p w14:paraId="6FE143C8" w14:textId="77777777" w:rsidR="004135A0" w:rsidRPr="002E074E" w:rsidRDefault="004135A0"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BD9EF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w:t>
      </w:r>
      <w:proofErr w:type="gramStart"/>
      <w:r w:rsidRPr="002E074E">
        <w:rPr>
          <w:rFonts w:ascii="Arial" w:hAnsi="Arial" w:cs="Arial"/>
          <w:sz w:val="24"/>
          <w:szCs w:val="24"/>
          <w:u w:color="000000"/>
          <w:bdr w:val="nil"/>
          <w:lang w:eastAsia="es-MX"/>
        </w:rPr>
        <w:t>Consentimiento.-</w:t>
      </w:r>
      <w:proofErr w:type="gramEnd"/>
      <w:r w:rsidRPr="002E074E">
        <w:rPr>
          <w:rFonts w:ascii="Arial" w:hAnsi="Arial" w:cs="Arial"/>
          <w:sz w:val="24"/>
          <w:szCs w:val="24"/>
          <w:u w:color="000000"/>
          <w:bdr w:val="nil"/>
          <w:lang w:eastAsia="es-MX"/>
        </w:rPr>
        <w:t xml:space="preserve"> Toda manifestación de voluntad, libre, inequívoca, específica e informada, mediante la que el interesado consienta el tratamiento de los datos personales que le conciernen;</w:t>
      </w:r>
    </w:p>
    <w:p w14:paraId="2D888E6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w:t>
      </w:r>
      <w:proofErr w:type="gramStart"/>
      <w:r w:rsidRPr="002E074E">
        <w:rPr>
          <w:rFonts w:ascii="Arial" w:hAnsi="Arial" w:cs="Arial"/>
          <w:sz w:val="24"/>
          <w:szCs w:val="24"/>
          <w:u w:color="000000"/>
          <w:bdr w:val="nil"/>
          <w:lang w:eastAsia="es-MX"/>
        </w:rPr>
        <w:t>Gratuidad.-</w:t>
      </w:r>
      <w:proofErr w:type="gramEnd"/>
      <w:r w:rsidRPr="002E074E">
        <w:rPr>
          <w:rFonts w:ascii="Arial" w:hAnsi="Arial" w:cs="Arial"/>
          <w:sz w:val="24"/>
          <w:szCs w:val="24"/>
          <w:u w:color="000000"/>
          <w:bdr w:val="nil"/>
          <w:lang w:eastAsia="es-MX"/>
        </w:rPr>
        <w:t xml:space="preserve"> Relativo al no costo del ejercicio del derecho de acceso a la información;</w:t>
      </w:r>
    </w:p>
    <w:p w14:paraId="6ACCA88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w:t>
      </w:r>
      <w:proofErr w:type="gramStart"/>
      <w:r w:rsidRPr="002E074E">
        <w:rPr>
          <w:rFonts w:ascii="Arial" w:hAnsi="Arial" w:cs="Arial"/>
          <w:sz w:val="24"/>
          <w:szCs w:val="24"/>
          <w:u w:color="000000"/>
          <w:bdr w:val="nil"/>
          <w:lang w:eastAsia="es-MX"/>
        </w:rPr>
        <w:t>Inmediatez.-</w:t>
      </w:r>
      <w:proofErr w:type="gramEnd"/>
      <w:r w:rsidRPr="002E074E">
        <w:rPr>
          <w:rFonts w:ascii="Arial" w:hAnsi="Arial" w:cs="Arial"/>
          <w:sz w:val="24"/>
          <w:szCs w:val="24"/>
          <w:u w:color="000000"/>
          <w:bdr w:val="nil"/>
          <w:lang w:eastAsia="es-MX"/>
        </w:rPr>
        <w:t xml:space="preserve"> Relativo a la celeridad con que se atiendan las solicitudes de información;</w:t>
      </w:r>
    </w:p>
    <w:p w14:paraId="48699D4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Máxima </w:t>
      </w:r>
      <w:proofErr w:type="gramStart"/>
      <w:r w:rsidRPr="002E074E">
        <w:rPr>
          <w:rFonts w:ascii="Arial" w:hAnsi="Arial" w:cs="Arial"/>
          <w:sz w:val="24"/>
          <w:szCs w:val="24"/>
          <w:u w:color="000000"/>
          <w:bdr w:val="nil"/>
          <w:lang w:eastAsia="es-MX"/>
        </w:rPr>
        <w:t>Publicidad.-</w:t>
      </w:r>
      <w:proofErr w:type="gramEnd"/>
      <w:r w:rsidRPr="002E074E">
        <w:rPr>
          <w:rFonts w:ascii="Arial" w:hAnsi="Arial" w:cs="Arial"/>
          <w:sz w:val="24"/>
          <w:szCs w:val="24"/>
          <w:u w:color="000000"/>
          <w:bdr w:val="nil"/>
          <w:lang w:eastAsia="es-MX"/>
        </w:rPr>
        <w:t xml:space="preserve"> Toda la información en posesión de los Sujetos Obligados será pública, completa, oportuna y accesible, situación que sólo podrá restringirse por las excepciones establecidas en la Ley, que deberán estar definidas y además ser estrictamente necesarias en una sociedad democrática;</w:t>
      </w:r>
    </w:p>
    <w:p w14:paraId="16C3980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w:t>
      </w:r>
      <w:proofErr w:type="gramStart"/>
      <w:r w:rsidRPr="002E074E">
        <w:rPr>
          <w:rFonts w:ascii="Arial" w:hAnsi="Arial" w:cs="Arial"/>
          <w:sz w:val="24"/>
          <w:szCs w:val="24"/>
          <w:u w:color="000000"/>
          <w:bdr w:val="nil"/>
          <w:lang w:eastAsia="es-MX"/>
        </w:rPr>
        <w:t>Oportunidad.-</w:t>
      </w:r>
      <w:proofErr w:type="gramEnd"/>
      <w:r w:rsidRPr="002E074E">
        <w:rPr>
          <w:rFonts w:ascii="Arial" w:hAnsi="Arial" w:cs="Arial"/>
          <w:sz w:val="24"/>
          <w:szCs w:val="24"/>
          <w:u w:color="000000"/>
          <w:bdr w:val="nil"/>
          <w:lang w:eastAsia="es-MX"/>
        </w:rPr>
        <w:t xml:space="preserve"> Relativo a que la información pública que liberen los Sujetos Obligados sea pertinente, adecuada y entregada dentro de los plazos que marca la presente;</w:t>
      </w:r>
    </w:p>
    <w:p w14:paraId="68ABA88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w:t>
      </w:r>
      <w:proofErr w:type="gramStart"/>
      <w:r w:rsidRPr="002E074E">
        <w:rPr>
          <w:rFonts w:ascii="Arial" w:hAnsi="Arial" w:cs="Arial"/>
          <w:sz w:val="24"/>
          <w:szCs w:val="24"/>
          <w:u w:color="000000"/>
          <w:bdr w:val="nil"/>
          <w:lang w:eastAsia="es-MX"/>
        </w:rPr>
        <w:t>Sencillez.-</w:t>
      </w:r>
      <w:proofErr w:type="gramEnd"/>
      <w:r w:rsidRPr="002E074E">
        <w:rPr>
          <w:rFonts w:ascii="Arial" w:hAnsi="Arial" w:cs="Arial"/>
          <w:sz w:val="24"/>
          <w:szCs w:val="24"/>
          <w:u w:color="000000"/>
          <w:bdr w:val="nil"/>
          <w:lang w:eastAsia="es-MX"/>
        </w:rPr>
        <w:t xml:space="preserve"> Relativo a la disminución de las formalidades que deben tener los procedimientos para acceder a la información, las cuales deben ser mínimas y facilitar el acceso a la información pública; </w:t>
      </w:r>
    </w:p>
    <w:p w14:paraId="1C6CD2B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 xml:space="preserve">VII. </w:t>
      </w:r>
      <w:proofErr w:type="gramStart"/>
      <w:r w:rsidRPr="002E074E">
        <w:rPr>
          <w:rFonts w:ascii="Arial" w:hAnsi="Arial" w:cs="Arial"/>
          <w:sz w:val="24"/>
          <w:szCs w:val="24"/>
          <w:u w:color="000000"/>
          <w:bdr w:val="nil"/>
          <w:lang w:eastAsia="es-MX"/>
        </w:rPr>
        <w:t>Transparencia.-</w:t>
      </w:r>
      <w:proofErr w:type="gramEnd"/>
      <w:r w:rsidRPr="002E074E">
        <w:rPr>
          <w:rFonts w:ascii="Arial" w:hAnsi="Arial" w:cs="Arial"/>
          <w:sz w:val="24"/>
          <w:szCs w:val="24"/>
          <w:u w:color="000000"/>
          <w:bdr w:val="nil"/>
          <w:lang w:eastAsia="es-MX"/>
        </w:rPr>
        <w:t xml:space="preserve"> Relativo a hacer asequible a la población el ejercicio de la función pública a través de la difusión de información, facilitando su acceso y disposición;</w:t>
      </w:r>
    </w:p>
    <w:p w14:paraId="15DC1BC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VIII. </w:t>
      </w:r>
      <w:proofErr w:type="gramStart"/>
      <w:r w:rsidRPr="002E074E">
        <w:rPr>
          <w:rFonts w:ascii="Arial" w:hAnsi="Arial" w:cs="Arial"/>
          <w:sz w:val="24"/>
          <w:szCs w:val="24"/>
          <w:u w:color="000000"/>
          <w:bdr w:val="nil"/>
          <w:lang w:eastAsia="es-MX"/>
        </w:rPr>
        <w:t>Veracidad.-</w:t>
      </w:r>
      <w:proofErr w:type="gramEnd"/>
      <w:r w:rsidRPr="002E074E">
        <w:rPr>
          <w:rFonts w:ascii="Arial" w:hAnsi="Arial" w:cs="Arial"/>
          <w:sz w:val="24"/>
          <w:szCs w:val="24"/>
          <w:u w:color="000000"/>
          <w:bdr w:val="nil"/>
          <w:lang w:eastAsia="es-MX"/>
        </w:rPr>
        <w:t xml:space="preserve"> Cualidad o condición que debe tener la información debiendo ser auténtica, objetiva y comprobable, estrechamente vinculada con la buena fe y honestidad;</w:t>
      </w:r>
    </w:p>
    <w:p w14:paraId="3823949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IX. </w:t>
      </w:r>
      <w:proofErr w:type="gramStart"/>
      <w:r w:rsidRPr="002E074E">
        <w:rPr>
          <w:rFonts w:ascii="Arial" w:hAnsi="Arial" w:cs="Arial"/>
          <w:sz w:val="24"/>
          <w:szCs w:val="24"/>
          <w:u w:color="000000"/>
          <w:bdr w:val="nil"/>
          <w:lang w:eastAsia="es-MX"/>
        </w:rPr>
        <w:t>Disponibilidad.-</w:t>
      </w:r>
      <w:proofErr w:type="gramEnd"/>
      <w:r w:rsidRPr="002E074E">
        <w:rPr>
          <w:rFonts w:ascii="Arial" w:hAnsi="Arial" w:cs="Arial"/>
          <w:sz w:val="24"/>
          <w:szCs w:val="24"/>
          <w:u w:color="000000"/>
          <w:bdr w:val="nil"/>
          <w:lang w:eastAsia="es-MX"/>
        </w:rPr>
        <w:t xml:space="preserve"> Cualidad consistente en tener la información en los formatos accesibles para los peticionarios;</w:t>
      </w:r>
    </w:p>
    <w:p w14:paraId="4807334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w:t>
      </w:r>
      <w:proofErr w:type="gramStart"/>
      <w:r w:rsidRPr="002E074E">
        <w:rPr>
          <w:rFonts w:ascii="Arial" w:hAnsi="Arial" w:cs="Arial"/>
          <w:sz w:val="24"/>
          <w:szCs w:val="24"/>
          <w:u w:color="000000"/>
          <w:bdr w:val="nil"/>
          <w:lang w:eastAsia="es-MX"/>
        </w:rPr>
        <w:t>Imparcialidad.-</w:t>
      </w:r>
      <w:proofErr w:type="gramEnd"/>
      <w:r w:rsidRPr="002E074E">
        <w:rPr>
          <w:rFonts w:ascii="Arial" w:hAnsi="Arial" w:cs="Arial"/>
          <w:sz w:val="24"/>
          <w:szCs w:val="24"/>
          <w:u w:color="000000"/>
          <w:bdr w:val="nil"/>
          <w:lang w:eastAsia="es-MX"/>
        </w:rPr>
        <w:t xml:space="preserve"> Cualidad que se debe tener respecto a </w:t>
      </w:r>
      <w:proofErr w:type="gramStart"/>
      <w:r w:rsidRPr="002E074E">
        <w:rPr>
          <w:rFonts w:ascii="Arial" w:hAnsi="Arial" w:cs="Arial"/>
          <w:sz w:val="24"/>
          <w:szCs w:val="24"/>
          <w:u w:color="000000"/>
          <w:bdr w:val="nil"/>
          <w:lang w:eastAsia="es-MX"/>
        </w:rPr>
        <w:t>las  actuaciones</w:t>
      </w:r>
      <w:proofErr w:type="gramEnd"/>
      <w:r w:rsidRPr="002E074E">
        <w:rPr>
          <w:rFonts w:ascii="Arial" w:hAnsi="Arial" w:cs="Arial"/>
          <w:sz w:val="24"/>
          <w:szCs w:val="24"/>
          <w:u w:color="000000"/>
          <w:bdr w:val="nil"/>
          <w:lang w:eastAsia="es-MX"/>
        </w:rPr>
        <w:t xml:space="preserve"> de ser ajenos o extraños a los intereses de las partes en controversia, y resolver con estricto apego a la Ley y sin favorecer indebidamente a ninguna de ellas; </w:t>
      </w:r>
    </w:p>
    <w:p w14:paraId="5746F1E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 </w:t>
      </w:r>
      <w:proofErr w:type="gramStart"/>
      <w:r w:rsidRPr="002E074E">
        <w:rPr>
          <w:rFonts w:ascii="Arial" w:hAnsi="Arial" w:cs="Arial"/>
          <w:sz w:val="24"/>
          <w:szCs w:val="24"/>
          <w:u w:color="000000"/>
          <w:bdr w:val="nil"/>
          <w:lang w:eastAsia="es-MX"/>
        </w:rPr>
        <w:t>Independencia.-</w:t>
      </w:r>
      <w:proofErr w:type="gramEnd"/>
      <w:r w:rsidRPr="002E074E">
        <w:rPr>
          <w:rFonts w:ascii="Arial" w:hAnsi="Arial" w:cs="Arial"/>
          <w:sz w:val="24"/>
          <w:szCs w:val="24"/>
          <w:u w:color="000000"/>
          <w:bdr w:val="nil"/>
          <w:lang w:eastAsia="es-MX"/>
        </w:rPr>
        <w:t xml:space="preserve"> Cualidad que se debe tener para actuar sin supeditarse a interés, autoridad o persona alguna; </w:t>
      </w:r>
    </w:p>
    <w:p w14:paraId="57BAECD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w:t>
      </w:r>
      <w:proofErr w:type="gramStart"/>
      <w:r w:rsidRPr="002E074E">
        <w:rPr>
          <w:rFonts w:ascii="Arial" w:hAnsi="Arial" w:cs="Arial"/>
          <w:sz w:val="24"/>
          <w:szCs w:val="24"/>
          <w:u w:color="000000"/>
          <w:bdr w:val="nil"/>
          <w:lang w:eastAsia="es-MX"/>
        </w:rPr>
        <w:t>Legalidad.-</w:t>
      </w:r>
      <w:proofErr w:type="gramEnd"/>
      <w:r w:rsidRPr="002E074E">
        <w:rPr>
          <w:rFonts w:ascii="Arial" w:hAnsi="Arial" w:cs="Arial"/>
          <w:sz w:val="24"/>
          <w:szCs w:val="24"/>
          <w:u w:color="000000"/>
          <w:bdr w:val="nil"/>
          <w:lang w:eastAsia="es-MX"/>
        </w:rPr>
        <w:t xml:space="preserve"> La obligación de ajustar las actuaciones a toda norma jurídica, obteniendo resoluciones debidamente fundadas y motivadas en las normas aplicables; </w:t>
      </w:r>
    </w:p>
    <w:p w14:paraId="391D616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XIII. </w:t>
      </w:r>
      <w:proofErr w:type="gramStart"/>
      <w:r w:rsidRPr="002E074E">
        <w:rPr>
          <w:rFonts w:ascii="Arial" w:hAnsi="Arial" w:cs="Arial"/>
          <w:sz w:val="24"/>
          <w:szCs w:val="24"/>
          <w:u w:color="000000"/>
          <w:bdr w:val="nil"/>
          <w:lang w:eastAsia="es-MX"/>
        </w:rPr>
        <w:t>Objetividad.-</w:t>
      </w:r>
      <w:proofErr w:type="gramEnd"/>
      <w:r w:rsidRPr="002E074E">
        <w:rPr>
          <w:rFonts w:ascii="Arial" w:hAnsi="Arial" w:cs="Arial"/>
          <w:sz w:val="24"/>
          <w:szCs w:val="24"/>
          <w:u w:color="000000"/>
          <w:bdr w:val="nil"/>
          <w:lang w:eastAsia="es-MX"/>
        </w:rPr>
        <w:t xml:space="preserve"> Obligación de ajustar </w:t>
      </w:r>
      <w:proofErr w:type="gramStart"/>
      <w:r w:rsidRPr="002E074E">
        <w:rPr>
          <w:rFonts w:ascii="Arial" w:hAnsi="Arial" w:cs="Arial"/>
          <w:sz w:val="24"/>
          <w:szCs w:val="24"/>
          <w:u w:color="000000"/>
          <w:bdr w:val="nil"/>
          <w:lang w:eastAsia="es-MX"/>
        </w:rPr>
        <w:t>las actuación</w:t>
      </w:r>
      <w:proofErr w:type="gramEnd"/>
      <w:r w:rsidRPr="002E074E">
        <w:rPr>
          <w:rFonts w:ascii="Arial" w:hAnsi="Arial" w:cs="Arial"/>
          <w:sz w:val="24"/>
          <w:szCs w:val="24"/>
          <w:u w:color="000000"/>
          <w:bdr w:val="nil"/>
          <w:lang w:eastAsia="es-MX"/>
        </w:rPr>
        <w:t xml:space="preserve"> a los presupuestos de ley que deben ser aplicados al analizar el caso en concreto y resolver todos los hechos, prescindiendo de las consideraciones y criterios personales, y</w:t>
      </w:r>
    </w:p>
    <w:p w14:paraId="372E901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XIV. </w:t>
      </w:r>
      <w:proofErr w:type="gramStart"/>
      <w:r w:rsidRPr="002E074E">
        <w:rPr>
          <w:rFonts w:ascii="Arial" w:hAnsi="Arial" w:cs="Arial"/>
          <w:sz w:val="24"/>
          <w:szCs w:val="24"/>
          <w:u w:color="000000"/>
          <w:bdr w:val="nil"/>
          <w:lang w:eastAsia="es-MX"/>
        </w:rPr>
        <w:t>Profesionalismo.-</w:t>
      </w:r>
      <w:proofErr w:type="gramEnd"/>
      <w:r w:rsidRPr="002E074E">
        <w:rPr>
          <w:rFonts w:ascii="Arial" w:hAnsi="Arial" w:cs="Arial"/>
          <w:sz w:val="24"/>
          <w:szCs w:val="24"/>
          <w:u w:color="000000"/>
          <w:bdr w:val="nil"/>
          <w:lang w:eastAsia="es-MX"/>
        </w:rPr>
        <w:t xml:space="preserve"> Todo Servidor Público deberá sujetar su actuación a conocimientos técnicos, teóricos y metodológicos que garanticen un desempeño eficiente y eficaz en el ejercicio de la función pública que tienen encomendada.</w:t>
      </w:r>
    </w:p>
    <w:p w14:paraId="1059F2B6"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65C0E05E"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CAPÍTULO III</w:t>
      </w:r>
    </w:p>
    <w:p w14:paraId="336C7574"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 LOS SUJETOS OBLIGADOS</w:t>
      </w:r>
    </w:p>
    <w:p w14:paraId="62E2ADEB" w14:textId="77777777" w:rsidR="00E85802" w:rsidRPr="007656D1"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2D36F4D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12.</w:t>
      </w:r>
      <w:r w:rsidRPr="002E074E">
        <w:rPr>
          <w:rFonts w:ascii="Arial" w:hAnsi="Arial" w:cs="Arial"/>
          <w:sz w:val="24"/>
          <w:szCs w:val="24"/>
          <w:u w:color="000000"/>
          <w:bdr w:val="nil"/>
          <w:lang w:eastAsia="es-MX"/>
        </w:rPr>
        <w:t xml:space="preserve"> Para el cumplimiento de esta Ley, los Sujetos Obligados deberán cumplir con las siguientes obligaciones, según corresponda, de acuerdo a su naturaleza:</w:t>
      </w:r>
    </w:p>
    <w:p w14:paraId="305C18E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8350BB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Constituir el Comité de Transparencia, la Unidad de Transparencia y vigilar su correcto funcionamiento de acuerdo a su normatividad interna;</w:t>
      </w:r>
    </w:p>
    <w:p w14:paraId="06107B7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Designar en las Unidades de Transparencia a los titulares que dependan directamente del titular de los Sujetos Obligados y que preferentemente cuenten con experiencia en la materia;</w:t>
      </w:r>
    </w:p>
    <w:p w14:paraId="415CB52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III. Proporcionar capacitación continua y especializada al personal que forme parte de los Comités y Unidades de Transparencia;</w:t>
      </w:r>
    </w:p>
    <w:p w14:paraId="1C9F8DB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Constituir y mantener actualizados sus sistemas de archivo y gestión documental, conforme a la normatividad aplicable;</w:t>
      </w:r>
    </w:p>
    <w:p w14:paraId="300C5D7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Promover la generación, documentación y publicación de la información en Formatos Abiertos y Accesibles;</w:t>
      </w:r>
    </w:p>
    <w:p w14:paraId="6569F8E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Proteger y resguardar la información clasificada como reservada o confidencial;</w:t>
      </w:r>
    </w:p>
    <w:p w14:paraId="2D7F17A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Reportar al Instituto sobre las acciones de implementación de la normativa en la materia, en los términos que se determine;</w:t>
      </w:r>
    </w:p>
    <w:p w14:paraId="7FBC2C8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Atender los requerimientos, observaciones, recomendaciones y criterios que, en materia de transparencia y acceso a la información, realicen los Organismos Garantes y el Sistema Nacional;</w:t>
      </w:r>
    </w:p>
    <w:p w14:paraId="7105FBD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Fomentar el uso de tecnologías de la información para garantizar la transparencia, el derecho de acceso a la información y la accesibilidad a las mismas;</w:t>
      </w:r>
    </w:p>
    <w:p w14:paraId="0D9BEA4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Cumplir con las resoluciones emitidas por el Instituto;</w:t>
      </w:r>
    </w:p>
    <w:p w14:paraId="3177B16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Publicar y mantener actualizada la información relativa a las obligaciones de transparencia;</w:t>
      </w:r>
    </w:p>
    <w:p w14:paraId="57DCE5A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Difundir proactivamente información de interés público;</w:t>
      </w:r>
    </w:p>
    <w:p w14:paraId="5063047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Dar atención a las recomendaciones del Instituto, y</w:t>
      </w:r>
    </w:p>
    <w:p w14:paraId="01AF506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demás que resulten de la normatividad aplicable.</w:t>
      </w:r>
    </w:p>
    <w:p w14:paraId="3DAC4CF8"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16119FDD"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TÍTULO SEGUNDO</w:t>
      </w:r>
    </w:p>
    <w:p w14:paraId="3D2E9CA1"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 LOS RESPONSABLES EN MATERIA DE TRANSPARENCIA Y ACCESO A LA INFORMACIÓN</w:t>
      </w:r>
    </w:p>
    <w:p w14:paraId="403BA0EF"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4A99BF80"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CAPÍTULO I</w:t>
      </w:r>
    </w:p>
    <w:p w14:paraId="075460B4" w14:textId="77777777" w:rsidR="00E85802" w:rsidRPr="007656D1"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7656D1">
        <w:rPr>
          <w:rFonts w:ascii="Arial" w:hAnsi="Arial" w:cs="Arial"/>
          <w:b/>
          <w:bCs/>
          <w:sz w:val="24"/>
          <w:szCs w:val="24"/>
          <w:u w:color="000000"/>
          <w:bdr w:val="nil"/>
          <w:lang w:eastAsia="es-MX"/>
        </w:rPr>
        <w:t>DEL INSTITUTO MORELENSE DE INFORMACIÓN PÚBLICA Y ESTADÍSTICA</w:t>
      </w:r>
    </w:p>
    <w:p w14:paraId="4B0E8CA4"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83652B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13.</w:t>
      </w:r>
      <w:r w:rsidRPr="002E074E">
        <w:rPr>
          <w:rFonts w:ascii="Arial" w:hAnsi="Arial" w:cs="Arial"/>
          <w:sz w:val="24"/>
          <w:szCs w:val="24"/>
          <w:u w:color="000000"/>
          <w:bdr w:val="nil"/>
          <w:lang w:eastAsia="es-MX"/>
        </w:rPr>
        <w:t xml:space="preserve"> El Instituto Morelense de Información Pública y Estadística, es un Órgano Constitucional Autónomo de acuerdo con lo previsto en el artículo 23-A, de la Constitución Política del Estado de Morelos, especializado e imparcial. Por lo tanto, es una entidad pública con naturaleza jurídica, patrimonio propio, distinto e independiente de los Poderes Públicos del Estado, con lo cuales se encuentra en </w:t>
      </w:r>
      <w:r w:rsidRPr="002E074E">
        <w:rPr>
          <w:rFonts w:ascii="Arial" w:hAnsi="Arial" w:cs="Arial"/>
          <w:sz w:val="24"/>
          <w:szCs w:val="24"/>
          <w:u w:color="000000"/>
          <w:bdr w:val="nil"/>
          <w:lang w:eastAsia="es-MX"/>
        </w:rPr>
        <w:lastRenderedPageBreak/>
        <w:t>un plano de coordinación más no de subordinación y de los organismos y dependencias creadas por disposición legal.</w:t>
      </w:r>
    </w:p>
    <w:p w14:paraId="270FCF8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4987B5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14.</w:t>
      </w:r>
      <w:r w:rsidRPr="002E074E">
        <w:rPr>
          <w:rFonts w:ascii="Arial" w:hAnsi="Arial" w:cs="Arial"/>
          <w:sz w:val="24"/>
          <w:szCs w:val="24"/>
          <w:u w:color="000000"/>
          <w:bdr w:val="nil"/>
          <w:lang w:eastAsia="es-MX"/>
        </w:rPr>
        <w:t xml:space="preserve"> El Instituto se integrará por tres Comisionados, los cuales serán electos por mayoría calificada de los integrantes del Congreso, para lo cual se expedirá convocatoria pública en donde recibirán propuestas de la sociedad y de los propios participantes que deseen inscribirse.</w:t>
      </w:r>
    </w:p>
    <w:p w14:paraId="08C01BD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CF89DC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Ante la Junta los participantes acreditarán los requisitos que prevean la Ley y la convocatoria; serán entrevistados todos los que cumplieron los requisitos y expondrán su proyecto de trabajo.  </w:t>
      </w:r>
    </w:p>
    <w:p w14:paraId="78CAE97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B6B36D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De entre ellos se elegirá a cada uno de los Comisionados.</w:t>
      </w:r>
    </w:p>
    <w:p w14:paraId="7B23FAB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E56678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Procurarán en su conformación privilegiar la experiencia en materia de acceso a la información pública y protección de datos personales, así como procurar la igualdad de género. La duración en el cargo será de siete años.</w:t>
      </w:r>
    </w:p>
    <w:p w14:paraId="793A12C7" w14:textId="77777777" w:rsidR="004135A0" w:rsidRPr="002E074E" w:rsidRDefault="004135A0"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3CE2AC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los procedimientos para la selección de los Comisionados se deberá garantizar la transparencia, independencia y participación de la sociedad.</w:t>
      </w:r>
    </w:p>
    <w:p w14:paraId="574B65B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288EB8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Los Comisionados designados elegirán al Comisionado </w:t>
      </w:r>
      <w:proofErr w:type="gramStart"/>
      <w:r w:rsidRPr="002E074E">
        <w:rPr>
          <w:rFonts w:ascii="Arial" w:hAnsi="Arial" w:cs="Arial"/>
          <w:sz w:val="24"/>
          <w:szCs w:val="24"/>
          <w:u w:color="000000"/>
          <w:bdr w:val="nil"/>
          <w:lang w:eastAsia="es-MX"/>
        </w:rPr>
        <w:t>Presidente</w:t>
      </w:r>
      <w:proofErr w:type="gramEnd"/>
      <w:r w:rsidRPr="002E074E">
        <w:rPr>
          <w:rFonts w:ascii="Arial" w:hAnsi="Arial" w:cs="Arial"/>
          <w:sz w:val="24"/>
          <w:szCs w:val="24"/>
          <w:u w:color="000000"/>
          <w:bdr w:val="nil"/>
          <w:lang w:eastAsia="es-MX"/>
        </w:rPr>
        <w:t xml:space="preserve"> el cual durará en su encargo dos años, pudiendo ser reelecto por un periodo más. </w:t>
      </w:r>
    </w:p>
    <w:p w14:paraId="59C064A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4E2F10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15.</w:t>
      </w:r>
      <w:r w:rsidRPr="002E074E">
        <w:rPr>
          <w:rFonts w:ascii="Arial" w:hAnsi="Arial" w:cs="Arial"/>
          <w:sz w:val="24"/>
          <w:szCs w:val="24"/>
          <w:u w:color="000000"/>
          <w:bdr w:val="nil"/>
          <w:lang w:eastAsia="es-MX"/>
        </w:rPr>
        <w:t xml:space="preserve"> Los Comisionados sólo podrán ser removidos de su cargo en los términos del Título Séptimo de la Constitución Política del Estado Libre y Soberano de Morelos y serán sujetos de Juicio político.</w:t>
      </w:r>
    </w:p>
    <w:p w14:paraId="5145828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2ACEE2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16.</w:t>
      </w:r>
      <w:r w:rsidRPr="002E074E">
        <w:rPr>
          <w:rFonts w:ascii="Arial" w:hAnsi="Arial" w:cs="Arial"/>
          <w:sz w:val="24"/>
          <w:szCs w:val="24"/>
          <w:u w:color="000000"/>
          <w:bdr w:val="nil"/>
          <w:lang w:eastAsia="es-MX"/>
        </w:rPr>
        <w:t xml:space="preserve"> El cargo de Comisionado es incompatible con cualquier otra responsabilidad pública y privada, con excepción de la docencia y la investigación académica sin remuneración económica alguna. </w:t>
      </w:r>
    </w:p>
    <w:p w14:paraId="6F390CB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AAA558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Los Comisionados podrán solicitar al Pleno autorización para ausentarse, con el propósito de realizar actividades propias de su encargo al interior de la República Mexicana o en el extranjero. Dicho permiso no rebasará de treinta días hábiles.  </w:t>
      </w:r>
    </w:p>
    <w:p w14:paraId="73A0C02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8F9D3A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lastRenderedPageBreak/>
        <w:t>Artículo 17.</w:t>
      </w:r>
      <w:r w:rsidRPr="002E074E">
        <w:rPr>
          <w:rFonts w:ascii="Arial" w:hAnsi="Arial" w:cs="Arial"/>
          <w:sz w:val="24"/>
          <w:szCs w:val="24"/>
          <w:u w:color="000000"/>
          <w:bdr w:val="nil"/>
          <w:lang w:eastAsia="es-MX"/>
        </w:rPr>
        <w:t xml:space="preserve"> El Instituto tendrá la estructura administrativa necesaria para la gestión y el desempeño de sus atribuciones.</w:t>
      </w:r>
    </w:p>
    <w:p w14:paraId="233A260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8D2C65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7656D1">
        <w:rPr>
          <w:rFonts w:ascii="Arial" w:hAnsi="Arial" w:cs="Arial"/>
          <w:b/>
          <w:bCs/>
          <w:sz w:val="24"/>
          <w:szCs w:val="24"/>
          <w:u w:color="000000"/>
          <w:bdr w:val="nil"/>
          <w:lang w:eastAsia="es-MX"/>
        </w:rPr>
        <w:t>18.</w:t>
      </w:r>
      <w:r w:rsidRPr="002E074E">
        <w:rPr>
          <w:rFonts w:ascii="Arial" w:hAnsi="Arial" w:cs="Arial"/>
          <w:sz w:val="24"/>
          <w:szCs w:val="24"/>
          <w:u w:color="000000"/>
          <w:bdr w:val="nil"/>
          <w:lang w:eastAsia="es-MX"/>
        </w:rPr>
        <w:t xml:space="preserve"> Para ser Comisionado se requiere:</w:t>
      </w:r>
    </w:p>
    <w:p w14:paraId="190F0C7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15DC81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 Ser ciudadano mexicano, preferentemente morelense, en los términos de la Constitución;</w:t>
      </w:r>
    </w:p>
    <w:p w14:paraId="35D1B6D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2. Tener treinta años de edad cumplidos el día de su designación;</w:t>
      </w:r>
    </w:p>
    <w:p w14:paraId="495FBDC1" w14:textId="77777777" w:rsidR="00E85802"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3. No haber sido </w:t>
      </w:r>
      <w:proofErr w:type="gramStart"/>
      <w:r w:rsidRPr="002E074E">
        <w:rPr>
          <w:rFonts w:ascii="Arial" w:hAnsi="Arial" w:cs="Arial"/>
          <w:sz w:val="24"/>
          <w:szCs w:val="24"/>
          <w:u w:color="000000"/>
          <w:bdr w:val="nil"/>
          <w:lang w:eastAsia="es-MX"/>
        </w:rPr>
        <w:t>Secretario</w:t>
      </w:r>
      <w:proofErr w:type="gramEnd"/>
      <w:r w:rsidRPr="002E074E">
        <w:rPr>
          <w:rFonts w:ascii="Arial" w:hAnsi="Arial" w:cs="Arial"/>
          <w:sz w:val="24"/>
          <w:szCs w:val="24"/>
          <w:u w:color="000000"/>
          <w:bdr w:val="nil"/>
          <w:lang w:eastAsia="es-MX"/>
        </w:rPr>
        <w:t xml:space="preserve"> de Despacho, </w:t>
      </w:r>
      <w:proofErr w:type="gramStart"/>
      <w:r w:rsidRPr="002E074E">
        <w:rPr>
          <w:rFonts w:ascii="Arial" w:hAnsi="Arial" w:cs="Arial"/>
          <w:sz w:val="24"/>
          <w:szCs w:val="24"/>
          <w:u w:color="000000"/>
          <w:bdr w:val="nil"/>
          <w:lang w:eastAsia="es-MX"/>
        </w:rPr>
        <w:t>Fiscal General</w:t>
      </w:r>
      <w:proofErr w:type="gramEnd"/>
      <w:r w:rsidRPr="002E074E">
        <w:rPr>
          <w:rFonts w:ascii="Arial" w:hAnsi="Arial" w:cs="Arial"/>
          <w:sz w:val="24"/>
          <w:szCs w:val="24"/>
          <w:u w:color="000000"/>
          <w:bdr w:val="nil"/>
          <w:lang w:eastAsia="es-MX"/>
        </w:rPr>
        <w:t xml:space="preserve"> del Estado, Fiscal Especializado en la Investigación de Hechos de Corrupción, Senador, Diputado Federal, Auditor General de la Entidad, Integrante de un Ayuntamiento, dirigente de partido o asociación política, durante el año previo al día de su nombramiento. Para el caso de Diputado Local, el impedimento alcanza los tres años previos al día de su designación;</w:t>
      </w:r>
    </w:p>
    <w:p w14:paraId="78FF6DA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4. </w:t>
      </w:r>
      <w:r w:rsidRPr="002030C5">
        <w:rPr>
          <w:rFonts w:ascii="Arial" w:hAnsi="Arial" w:cs="Arial"/>
          <w:sz w:val="24"/>
          <w:szCs w:val="24"/>
          <w:u w:color="000000"/>
          <w:bdr w:val="nil"/>
          <w:lang w:eastAsia="es-MX"/>
        </w:rPr>
        <w:t>No encontrarse inscrito en el Registro Nacional de Obligaciones Alimentarias;</w:t>
      </w:r>
    </w:p>
    <w:p w14:paraId="7A1F7A8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5</w:t>
      </w:r>
      <w:r w:rsidRPr="002E074E">
        <w:rPr>
          <w:rFonts w:ascii="Arial" w:hAnsi="Arial" w:cs="Arial"/>
          <w:sz w:val="24"/>
          <w:szCs w:val="24"/>
          <w:u w:color="000000"/>
          <w:bdr w:val="nil"/>
          <w:lang w:eastAsia="es-MX"/>
        </w:rPr>
        <w:t>. No haber sido ministro de culto religioso cuando menos dos años antes de su designación;</w:t>
      </w:r>
    </w:p>
    <w:p w14:paraId="24ABC66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6</w:t>
      </w:r>
      <w:r w:rsidRPr="002E074E">
        <w:rPr>
          <w:rFonts w:ascii="Arial" w:hAnsi="Arial" w:cs="Arial"/>
          <w:sz w:val="24"/>
          <w:szCs w:val="24"/>
          <w:u w:color="000000"/>
          <w:bdr w:val="nil"/>
          <w:lang w:eastAsia="es-MX"/>
        </w:rPr>
        <w:t>. No haber sido sentenciado por delito doloso que merezca pena privativa de la libertad, y</w:t>
      </w:r>
    </w:p>
    <w:p w14:paraId="6CE692D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7</w:t>
      </w:r>
      <w:r w:rsidRPr="002E074E">
        <w:rPr>
          <w:rFonts w:ascii="Arial" w:hAnsi="Arial" w:cs="Arial"/>
          <w:sz w:val="24"/>
          <w:szCs w:val="24"/>
          <w:u w:color="000000"/>
          <w:bdr w:val="nil"/>
          <w:lang w:eastAsia="es-MX"/>
        </w:rPr>
        <w:t>. Contar con título y cédula profesional de grado universitario a nivel licenciatura en cualquier campo del conocimiento.</w:t>
      </w:r>
    </w:p>
    <w:p w14:paraId="649D0C63" w14:textId="77777777" w:rsidR="00E85802" w:rsidRPr="002030C5" w:rsidRDefault="00E85802" w:rsidP="00E85802">
      <w:pPr>
        <w:pBdr>
          <w:top w:val="nil"/>
          <w:left w:val="nil"/>
          <w:bottom w:val="nil"/>
          <w:right w:val="nil"/>
          <w:between w:val="nil"/>
          <w:bar w:val="nil"/>
        </w:pBdr>
        <w:spacing w:after="0" w:line="240" w:lineRule="auto"/>
        <w:jc w:val="both"/>
        <w:rPr>
          <w:rFonts w:ascii="Arial" w:eastAsia="Times New Roman" w:hAnsi="Arial" w:cs="Arial"/>
          <w:b/>
          <w:bCs/>
          <w:sz w:val="20"/>
          <w:szCs w:val="20"/>
          <w:lang w:val="es-ES" w:eastAsia="es-ES"/>
        </w:rPr>
      </w:pPr>
      <w:r w:rsidRPr="002030C5">
        <w:rPr>
          <w:rFonts w:ascii="Arial" w:eastAsia="Times New Roman" w:hAnsi="Arial" w:cs="Arial"/>
          <w:b/>
          <w:bCs/>
          <w:sz w:val="20"/>
          <w:szCs w:val="20"/>
          <w:lang w:val="es-ES" w:eastAsia="es-ES"/>
        </w:rPr>
        <w:t xml:space="preserve">NOTAS: </w:t>
      </w:r>
    </w:p>
    <w:p w14:paraId="77F12593"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2030C5">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Se adiciona un numeral 4 al artículo 18, recorriéndose en su orden las subsecuentes</w:t>
      </w:r>
      <w:r>
        <w:rPr>
          <w:rFonts w:ascii="Arial" w:eastAsia="Times New Roman" w:hAnsi="Arial" w:cs="Arial"/>
          <w:bCs/>
          <w:sz w:val="20"/>
          <w:szCs w:val="20"/>
          <w:lang w:val="es-ES" w:eastAsia="es-ES"/>
        </w:rPr>
        <w:t xml:space="preserve">, por </w:t>
      </w:r>
      <w:r w:rsidRPr="002030C5">
        <w:rPr>
          <w:rFonts w:ascii="Arial" w:eastAsia="Times New Roman" w:hAnsi="Arial" w:cs="Arial"/>
          <w:bCs/>
          <w:sz w:val="20"/>
          <w:szCs w:val="20"/>
          <w:lang w:val="es-ES" w:eastAsia="es-ES"/>
        </w:rPr>
        <w:t>ARTÍCULO SEXTO</w:t>
      </w:r>
      <w:r>
        <w:rPr>
          <w:rFonts w:ascii="Arial" w:eastAsia="Times New Roman" w:hAnsi="Arial" w:cs="Arial"/>
          <w:bCs/>
          <w:sz w:val="20"/>
          <w:szCs w:val="20"/>
          <w:lang w:val="es-ES" w:eastAsia="es-ES"/>
        </w:rPr>
        <w:t xml:space="preserve"> </w:t>
      </w:r>
      <w:r w:rsidRPr="002030C5">
        <w:rPr>
          <w:rFonts w:ascii="Arial" w:eastAsia="Times New Roman" w:hAnsi="Arial" w:cs="Arial"/>
          <w:bCs/>
          <w:sz w:val="20"/>
          <w:szCs w:val="20"/>
          <w:lang w:val="es-ES" w:eastAsia="es-ES"/>
        </w:rPr>
        <w:t>dispositivo del Decreto No. 2352, publicado en el Periódico Oficial “Tierra y Libertad” No. 6343, de fecha 2024/09/04. Vigencia 2024/09/05.</w:t>
      </w:r>
    </w:p>
    <w:p w14:paraId="793B8304" w14:textId="77777777" w:rsidR="00E85802"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7B1E322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19.</w:t>
      </w:r>
      <w:r w:rsidRPr="002E074E">
        <w:rPr>
          <w:rFonts w:ascii="Arial" w:hAnsi="Arial" w:cs="Arial"/>
          <w:sz w:val="24"/>
          <w:szCs w:val="24"/>
          <w:u w:color="000000"/>
          <w:bdr w:val="nil"/>
          <w:lang w:eastAsia="es-MX"/>
        </w:rPr>
        <w:t xml:space="preserve"> El Instituto funcionará de forma colegiada en reunión de pleno, en los términos que señale su reglamento; todas sus acciones, deliberaciones y resoluciones tendrán el carácter de públicas y le corresponden las siguientes atribuciones:</w:t>
      </w:r>
    </w:p>
    <w:p w14:paraId="5076EC3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D4FEE8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Aplicar las disposiciones de la presente Ley;</w:t>
      </w:r>
    </w:p>
    <w:p w14:paraId="7E7EFCB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Recibir, dar trámite y resolver los recursos que interpongan las personas que hubiesen solicitado información a los Sujetos Obligados;</w:t>
      </w:r>
    </w:p>
    <w:p w14:paraId="68B12D7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Orientar y auxiliar a las personas para ejercer los derechos tutelados en la presente Ley;</w:t>
      </w:r>
    </w:p>
    <w:p w14:paraId="702A820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IV. Imponer las medidas de apremio para asegurar el cumplimiento de sus determinaciones;</w:t>
      </w:r>
    </w:p>
    <w:p w14:paraId="29CC19A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Presentar petición fundada al INAI para que conozca de los recursos de revisión que por su interés y trascendencia así lo ameriten;</w:t>
      </w:r>
    </w:p>
    <w:p w14:paraId="1601932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Promover la cultura de la transparencia en el sistema educativo;</w:t>
      </w:r>
    </w:p>
    <w:p w14:paraId="55773DC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Capacitar a los servidores públicos y brindar apoyo técnico a los Sujetos Obligados en materia de transparencia y acceso a la información;</w:t>
      </w:r>
    </w:p>
    <w:p w14:paraId="5A8A93E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Establecer políticas de transparencia proactiva atendiendo a las condiciones económicas, sociales y culturales;</w:t>
      </w:r>
    </w:p>
    <w:p w14:paraId="1158C1C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Suscribir convenios con los Sujetos Obligados que propicien la publicación de información en el marco de las políticas de transparencia proactiva;</w:t>
      </w:r>
    </w:p>
    <w:p w14:paraId="150E1C3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Suscribir convenios de colaboración con particulares o sectores de la sociedad cuando sus actividades o productos resulten de interés público o relevancia social;</w:t>
      </w:r>
    </w:p>
    <w:p w14:paraId="595C998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Suscribir convenios de colaboración con otros organismos garantes para el cumplimiento de sus atribuciones y promover mejores prácticas en la materia;</w:t>
      </w:r>
    </w:p>
    <w:p w14:paraId="5079E6E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Coordinarse con las autoridades competentes para que, en los procedimientos de acceso a la información, así como en los medios de impugnación, se contemple contar con la información necesaria en lenguas indígenas y formatos accesibles, para que sean sustanciados y atendidos en la misma lengua y, en su caso, se promuevan los Ajustes Razonables necesarios si se tratara de personas con discapacidad;</w:t>
      </w:r>
    </w:p>
    <w:p w14:paraId="6F9CA54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Garantizar condiciones de accesibilidad para que los grupos vulnerables puedan ejercer, en igualdad de circunstancias, su derecho de acceso a la información;</w:t>
      </w:r>
    </w:p>
    <w:p w14:paraId="677D81D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Según corresponda, interponer acciones de inconstitucionalidad en contra de la expedición de leyes que vulneren el derecho al acceso a la información pública y la protección de datos personales;</w:t>
      </w:r>
    </w:p>
    <w:p w14:paraId="54E9ED7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Elaborar y publicar estudios e investigaciones para difundir y ampliar el conocimiento sobre la materia de acceso a la información;</w:t>
      </w:r>
    </w:p>
    <w:p w14:paraId="2D48C7F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Hacer del conocimiento de la instancia competente la probable responsabilidad por el incumplimiento de las obligaciones previstas en la presente Ley y en las demás disposiciones aplicables;</w:t>
      </w:r>
    </w:p>
    <w:p w14:paraId="5C2B929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Determinar y ejecutar, según corresponda, las sanciones de conformidad con lo señalado en la presente Ley;</w:t>
      </w:r>
    </w:p>
    <w:p w14:paraId="0EA27DA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XVIII. Promover la participación y colaboración con organismos internacionales, en el análisis y mejores prácticas en materia de acceso a la información pública;</w:t>
      </w:r>
    </w:p>
    <w:p w14:paraId="0ABA186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En el ejercicio de sus atribuciones y para el cumplimiento de los objetivos de la presente Ley, fomentar los principios de gobierno abierto, la transparencia, la rendición de cuentas, la participación ciudadana, la accesibilidad y la innovación tecnológica;</w:t>
      </w:r>
    </w:p>
    <w:p w14:paraId="2046E08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Emitir recomendaciones a los Sujetos Obligados para diseñar, implementar y evaluar acciones de apertura gubernamental que permitan orientar las políticas internas en la materia;</w:t>
      </w:r>
    </w:p>
    <w:p w14:paraId="5A1FEB2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Formar parte del Sistema Nacional de Transparencia, Acceso a la Información Pública y Protección de Datos Personales;</w:t>
      </w:r>
    </w:p>
    <w:p w14:paraId="158D817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Designar a los consejeros que conformaran al Consejo Consultivo, en los términos de la presente Ley;</w:t>
      </w:r>
    </w:p>
    <w:p w14:paraId="70ACE94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XXIII. Analizar y resolver respecto de la clasificación tratándose de los expedientes considerados como crímenes de lesa humanidad o de violaciones graves de derechos humanos, únicamente para los efectos del acceso al derecho a la información, y</w:t>
      </w:r>
    </w:p>
    <w:p w14:paraId="347E3F5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XXIV. Las demás que les confieran esta Ley y otras disposiciones aplicables.</w:t>
      </w:r>
    </w:p>
    <w:p w14:paraId="6A506124"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28AB83F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20.</w:t>
      </w:r>
      <w:r w:rsidRPr="002E074E">
        <w:rPr>
          <w:rFonts w:ascii="Arial" w:hAnsi="Arial" w:cs="Arial"/>
          <w:sz w:val="24"/>
          <w:szCs w:val="24"/>
          <w:u w:color="000000"/>
          <w:bdr w:val="nil"/>
          <w:lang w:eastAsia="es-MX"/>
        </w:rPr>
        <w:t xml:space="preserve"> El Comisionado </w:t>
      </w:r>
      <w:proofErr w:type="gramStart"/>
      <w:r w:rsidRPr="002E074E">
        <w:rPr>
          <w:rFonts w:ascii="Arial" w:hAnsi="Arial" w:cs="Arial"/>
          <w:sz w:val="24"/>
          <w:szCs w:val="24"/>
          <w:u w:color="000000"/>
          <w:bdr w:val="nil"/>
          <w:lang w:eastAsia="es-MX"/>
        </w:rPr>
        <w:t>Presidente</w:t>
      </w:r>
      <w:proofErr w:type="gramEnd"/>
      <w:r w:rsidRPr="002E074E">
        <w:rPr>
          <w:rFonts w:ascii="Arial" w:hAnsi="Arial" w:cs="Arial"/>
          <w:sz w:val="24"/>
          <w:szCs w:val="24"/>
          <w:u w:color="000000"/>
          <w:bdr w:val="nil"/>
          <w:lang w:eastAsia="es-MX"/>
        </w:rPr>
        <w:t xml:space="preserve"> del Instituto, tendrá a su cargo el trabajo administrativo del mismo y ejercerá además las siguientes atribuciones:</w:t>
      </w:r>
    </w:p>
    <w:p w14:paraId="56F14A3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1B899B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Tener la representación legal del Instituto;</w:t>
      </w:r>
    </w:p>
    <w:p w14:paraId="21ECC4E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Remitir oportunamente al Titular del Poder Ejecutivo, el anteproyecto de presupuesto de egresos del Instituto, una vez aprobado por el Pleno;</w:t>
      </w:r>
    </w:p>
    <w:p w14:paraId="134A0B0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Vigilar el ejercicio del presupuesto de egresos asignado al Instituto y presentar al Pleno un informe trimestral de los ingresos y egresos del mismo, que deberá contener la información del gasto programado y ejercido por cada una de las partidas autorizadas;</w:t>
      </w:r>
    </w:p>
    <w:p w14:paraId="1A964F8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Suscribir, junto con el </w:t>
      </w:r>
      <w:proofErr w:type="gramStart"/>
      <w:r w:rsidRPr="002E074E">
        <w:rPr>
          <w:rFonts w:ascii="Arial" w:hAnsi="Arial" w:cs="Arial"/>
          <w:sz w:val="24"/>
          <w:szCs w:val="24"/>
          <w:u w:color="000000"/>
          <w:bdr w:val="nil"/>
          <w:lang w:eastAsia="es-MX"/>
        </w:rPr>
        <w:t>Secretario Ejecutivo</w:t>
      </w:r>
      <w:proofErr w:type="gramEnd"/>
      <w:r w:rsidRPr="002E074E">
        <w:rPr>
          <w:rFonts w:ascii="Arial" w:hAnsi="Arial" w:cs="Arial"/>
          <w:sz w:val="24"/>
          <w:szCs w:val="24"/>
          <w:u w:color="000000"/>
          <w:bdr w:val="nil"/>
          <w:lang w:eastAsia="es-MX"/>
        </w:rPr>
        <w:t>, los convenios que sean necesarios con el INAI y otras autoridades de cualquier orden de gobierno, que se requieran para cumplimiento de las atribuciones del Instituto, previa autorización del Pleno;</w:t>
      </w:r>
    </w:p>
    <w:p w14:paraId="1376DB0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Vigilar y requerir el cumplimiento de lo previsto en el Título Cuarto, Capítulos II y III de esta Ley; </w:t>
      </w:r>
    </w:p>
    <w:p w14:paraId="51BD1FE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Elaborar los formatos utilizados para el ejercicio del derecho de acceso a la información y la acción de habeas data;</w:t>
      </w:r>
    </w:p>
    <w:p w14:paraId="5F7D35D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VII. Promover la capacitación, actualización y habilitación de los servidores públicos responsables de atender las solicitudes de acceso a la información, de la acción de habeas data, de archivo y sistematización;</w:t>
      </w:r>
    </w:p>
    <w:p w14:paraId="61871B9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Elaborar guías que expliquen de manera sencilla los procedimientos y trámites que de acuerdo con la presente Ley tengan que realizarse ante las entidades y el Instituto;</w:t>
      </w:r>
    </w:p>
    <w:p w14:paraId="17399F2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Promover que en los programas, planes, libros y materiales que se utilicen en las instituciones educativas de todos los niveles y modalidades se incluyan contenidos y referencias a los derechos tutelados en la presente Ley;</w:t>
      </w:r>
    </w:p>
    <w:p w14:paraId="189BA9A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Garantizar el desarrollo de las sesiones del Pleno;</w:t>
      </w:r>
    </w:p>
    <w:p w14:paraId="26C9647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Vigilar el cumplimiento de los acuerdos adoptados por el Pleno;</w:t>
      </w:r>
    </w:p>
    <w:p w14:paraId="1720AE9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 Representar al Instituto dentro del Sistema Nacional de Transparencia, Acceso a la Información y Protección de Datos Personales; </w:t>
      </w:r>
    </w:p>
    <w:p w14:paraId="5BD6532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Formar parte del Sistema Estatal Anticorrupción, y</w:t>
      </w:r>
    </w:p>
    <w:p w14:paraId="48420FB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demás que señale este ordenamiento o el Pleno.</w:t>
      </w:r>
    </w:p>
    <w:p w14:paraId="29627B1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218C20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7656D1">
        <w:rPr>
          <w:rFonts w:ascii="Arial" w:hAnsi="Arial" w:cs="Arial"/>
          <w:b/>
          <w:bCs/>
          <w:sz w:val="24"/>
          <w:szCs w:val="24"/>
          <w:u w:color="000000"/>
          <w:bdr w:val="nil"/>
          <w:lang w:eastAsia="es-MX"/>
        </w:rPr>
        <w:t>Artículo 21.</w:t>
      </w:r>
      <w:r w:rsidRPr="002E074E">
        <w:rPr>
          <w:rFonts w:ascii="Arial" w:hAnsi="Arial" w:cs="Arial"/>
          <w:sz w:val="24"/>
          <w:szCs w:val="24"/>
          <w:u w:color="000000"/>
          <w:bdr w:val="nil"/>
          <w:lang w:eastAsia="es-MX"/>
        </w:rPr>
        <w:t xml:space="preserve"> Los servidores públicos que integran el Instituto, se sujetarán al régimen de responsabilidades previsto en la Constitución Política del Estado Libre y Soberano de Morelos y la Ley Estatal de Responsabilidades de los Servidores Públicos. Las relaciones de todas las personas que laboren en el Instituto se regirán por la Ley del Servicio Civil del Estado de Morelos.</w:t>
      </w:r>
    </w:p>
    <w:p w14:paraId="4AD8418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556168E" w14:textId="77777777" w:rsidR="00E85802" w:rsidRPr="003C05E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C05EE">
        <w:rPr>
          <w:rFonts w:ascii="Arial" w:hAnsi="Arial" w:cs="Arial"/>
          <w:b/>
          <w:bCs/>
          <w:sz w:val="24"/>
          <w:szCs w:val="24"/>
          <w:u w:color="000000"/>
          <w:bdr w:val="nil"/>
          <w:lang w:eastAsia="es-MX"/>
        </w:rPr>
        <w:t>CAPÍTULO II</w:t>
      </w:r>
    </w:p>
    <w:p w14:paraId="32AC28DE" w14:textId="77777777" w:rsidR="00E85802" w:rsidRPr="003C05E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C05EE">
        <w:rPr>
          <w:rFonts w:ascii="Arial" w:hAnsi="Arial" w:cs="Arial"/>
          <w:b/>
          <w:bCs/>
          <w:sz w:val="24"/>
          <w:szCs w:val="24"/>
          <w:u w:color="000000"/>
          <w:bdr w:val="nil"/>
          <w:lang w:eastAsia="es-MX"/>
        </w:rPr>
        <w:t>DE LOS COMITÉS DE TRANSPARENCIA</w:t>
      </w:r>
    </w:p>
    <w:p w14:paraId="11A899FA" w14:textId="77777777" w:rsidR="00E85802" w:rsidRPr="003C05EE"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0C27D0A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C05EE">
        <w:rPr>
          <w:rFonts w:ascii="Arial" w:hAnsi="Arial" w:cs="Arial"/>
          <w:b/>
          <w:bCs/>
          <w:sz w:val="24"/>
          <w:szCs w:val="24"/>
          <w:u w:color="000000"/>
          <w:bdr w:val="nil"/>
          <w:lang w:eastAsia="es-MX"/>
        </w:rPr>
        <w:t>Artículo 22.</w:t>
      </w:r>
      <w:r w:rsidRPr="003C05EE">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En cada Sujeto Obligado se integrará un Comité de Transparencia, integrado por un número impar, conformado por:</w:t>
      </w:r>
    </w:p>
    <w:p w14:paraId="6E7D7A4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EC8D22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El titular de la entidad pública, que tendrá en carácter de </w:t>
      </w:r>
      <w:proofErr w:type="gramStart"/>
      <w:r w:rsidRPr="002E074E">
        <w:rPr>
          <w:rFonts w:ascii="Arial" w:hAnsi="Arial" w:cs="Arial"/>
          <w:sz w:val="24"/>
          <w:szCs w:val="24"/>
          <w:u w:color="000000"/>
          <w:bdr w:val="nil"/>
          <w:lang w:eastAsia="es-MX"/>
        </w:rPr>
        <w:t>Presidente</w:t>
      </w:r>
      <w:proofErr w:type="gramEnd"/>
      <w:r w:rsidRPr="002E074E">
        <w:rPr>
          <w:rFonts w:ascii="Arial" w:hAnsi="Arial" w:cs="Arial"/>
          <w:sz w:val="24"/>
          <w:szCs w:val="24"/>
          <w:u w:color="000000"/>
          <w:bdr w:val="nil"/>
          <w:lang w:eastAsia="es-MX"/>
        </w:rPr>
        <w:t>;</w:t>
      </w:r>
    </w:p>
    <w:p w14:paraId="5934073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Un coordinador del Comité que será designado por el titular de la entidad pública de entre los servidores públicos adscritos, con nivel de jerarquía mínimo de Jefatura de Departamento o equivalente;</w:t>
      </w:r>
    </w:p>
    <w:p w14:paraId="3C051D3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Un secretario técnico que será designado por el titular de la entidad pública;</w:t>
      </w:r>
    </w:p>
    <w:p w14:paraId="2B3EEA8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Titular de la Unidad de Transparencia, y</w:t>
      </w:r>
    </w:p>
    <w:p w14:paraId="27B8EAB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El titular de la contraloría interna u órgano de control interno.</w:t>
      </w:r>
    </w:p>
    <w:p w14:paraId="7C10E02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E74B73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 xml:space="preserve">El Comité de Transparencia adoptará sus resoluciones por mayoría de votos. En caso de empate, el </w:t>
      </w:r>
      <w:proofErr w:type="gramStart"/>
      <w:r w:rsidRPr="002E074E">
        <w:rPr>
          <w:rFonts w:ascii="Arial" w:hAnsi="Arial" w:cs="Arial"/>
          <w:sz w:val="24"/>
          <w:szCs w:val="24"/>
          <w:u w:color="000000"/>
          <w:bdr w:val="nil"/>
          <w:lang w:eastAsia="es-MX"/>
        </w:rPr>
        <w:t>Presidente</w:t>
      </w:r>
      <w:proofErr w:type="gramEnd"/>
      <w:r w:rsidRPr="002E074E">
        <w:rPr>
          <w:rFonts w:ascii="Arial" w:hAnsi="Arial" w:cs="Arial"/>
          <w:sz w:val="24"/>
          <w:szCs w:val="24"/>
          <w:u w:color="000000"/>
          <w:bdr w:val="nil"/>
          <w:lang w:eastAsia="es-MX"/>
        </w:rPr>
        <w:t xml:space="preserve"> tendrá voto de calidad. A sus sesiones podrán asistir como invitados aquellos que sus integrantes consideren necesarios, quienes tendrán voz, pero no voto.</w:t>
      </w:r>
    </w:p>
    <w:p w14:paraId="4EA5EB3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E3E3B5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procurará que los integrantes del Comité de Transparencia no dependan jerárquicamente entre sí, tampoco podrán reunirse dos o más de estos integrantes en una sola persona. Cuando se presente el caso, el titular de los Sujetos Obligados tendrá que nombrar a la persona que supla al subordinado.</w:t>
      </w:r>
    </w:p>
    <w:p w14:paraId="4477F4B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F4D8F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integrantes del Comité de Transparencia tendrán acceso a la información para determinar su clasificación conforme a la Ley.</w:t>
      </w:r>
    </w:p>
    <w:p w14:paraId="7434618E"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188F7F0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C05EE">
        <w:rPr>
          <w:rFonts w:ascii="Arial" w:hAnsi="Arial" w:cs="Arial"/>
          <w:b/>
          <w:bCs/>
          <w:sz w:val="24"/>
          <w:szCs w:val="24"/>
          <w:u w:color="000000"/>
          <w:bdr w:val="nil"/>
          <w:lang w:eastAsia="es-MX"/>
        </w:rPr>
        <w:t>Artículo 23.</w:t>
      </w:r>
      <w:r w:rsidRPr="002E074E">
        <w:rPr>
          <w:rFonts w:ascii="Arial" w:hAnsi="Arial" w:cs="Arial"/>
          <w:sz w:val="24"/>
          <w:szCs w:val="24"/>
          <w:u w:color="000000"/>
          <w:bdr w:val="nil"/>
          <w:lang w:eastAsia="es-MX"/>
        </w:rPr>
        <w:t xml:space="preserve"> Cada Comité de Transparencia tendrá las siguientes funciones:</w:t>
      </w:r>
    </w:p>
    <w:p w14:paraId="5408B52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D1AD7A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Instituir, coordinar y supervisar, en términos de las disposiciones aplicables, las acciones y los procedimientos para asegurar la mayor eficacia en la gestión de las solicitudes en materia de acceso a la información;</w:t>
      </w:r>
    </w:p>
    <w:p w14:paraId="39CF57B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264D6A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14:paraId="518CAAD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Establecer políticas para facilitar la obtención de información y el ejercicio del derecho de acceso a la información;</w:t>
      </w:r>
    </w:p>
    <w:p w14:paraId="1C8243C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Promover la capacitación y actualización de los servidores públicos o integrantes adscritos a cada Unidad de Transparencia;</w:t>
      </w:r>
    </w:p>
    <w:p w14:paraId="4C6F356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Establecer programas de capacitación en materia de transparencia, acceso a la información, accesibilidad y protección de datos personales, para todos los servidores públicos o integrantes de los Sujetos Obligados;</w:t>
      </w:r>
    </w:p>
    <w:p w14:paraId="6160CA3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Recabar los datos necesarios para la elaboración del informe anual y enviarlo al Instituto, de conformidad con los lineamientos establecidos por éste;</w:t>
      </w:r>
    </w:p>
    <w:p w14:paraId="593BA93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VIII. Solicitar y autorizar la ampliación del plazo de reserva de la información, a que se refiere el artículo 77 de la presente Ley, siempre y cuando el Instituto avale la aplicación del plazo referido, y</w:t>
      </w:r>
    </w:p>
    <w:p w14:paraId="60D7135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Las demás que se desprendan de la normatividad aplicable.</w:t>
      </w:r>
    </w:p>
    <w:p w14:paraId="360D0C0D"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2D9431B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C05EE">
        <w:rPr>
          <w:rFonts w:ascii="Arial" w:hAnsi="Arial" w:cs="Arial"/>
          <w:b/>
          <w:bCs/>
          <w:sz w:val="24"/>
          <w:szCs w:val="24"/>
          <w:u w:color="000000"/>
          <w:bdr w:val="nil"/>
          <w:lang w:eastAsia="es-MX"/>
        </w:rPr>
        <w:t>Artículo 24.</w:t>
      </w:r>
      <w:r w:rsidRPr="002E074E">
        <w:rPr>
          <w:rFonts w:ascii="Arial" w:hAnsi="Arial" w:cs="Arial"/>
          <w:sz w:val="24"/>
          <w:szCs w:val="24"/>
          <w:u w:color="000000"/>
          <w:bdr w:val="nil"/>
          <w:lang w:eastAsia="es-MX"/>
        </w:rPr>
        <w:t xml:space="preserve"> Cuando la información no se encuentre en los archivos de los Sujetos Obligados, el Comité de Transparencia:</w:t>
      </w:r>
    </w:p>
    <w:p w14:paraId="29439E3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2192C9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Analizará el caso y tomará las medidas necesarias para localizar la información;</w:t>
      </w:r>
    </w:p>
    <w:p w14:paraId="3AD0BF2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Expedirá una resolución que confirme la inexistencia del Documento;</w:t>
      </w:r>
    </w:p>
    <w:p w14:paraId="7541FF4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14:paraId="7FEB24E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Notificará al órgano interno de control o equivalente de los Sujetos Obligados quien, en su caso, deberá iniciar el procedimiento de responsabilidad administrativa que corresponda.</w:t>
      </w:r>
    </w:p>
    <w:p w14:paraId="7AF3912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6D1459E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25.</w:t>
      </w:r>
      <w:r w:rsidRPr="002E074E">
        <w:rPr>
          <w:rFonts w:ascii="Arial" w:hAnsi="Arial" w:cs="Arial"/>
          <w:sz w:val="24"/>
          <w:szCs w:val="24"/>
          <w:u w:color="000000"/>
          <w:bdr w:val="nil"/>
          <w:lang w:eastAsia="es-MX"/>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14:paraId="40CA2A4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6C45ED4"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III</w:t>
      </w:r>
    </w:p>
    <w:p w14:paraId="5676A29D"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UNIDAD DE TRANSPARENCIA</w:t>
      </w:r>
    </w:p>
    <w:p w14:paraId="20493256" w14:textId="77777777" w:rsidR="00E85802" w:rsidRPr="00B4563E"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331CC3C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26</w:t>
      </w:r>
      <w:r w:rsidRPr="002E074E">
        <w:rPr>
          <w:rFonts w:ascii="Arial" w:hAnsi="Arial" w:cs="Arial"/>
          <w:bCs/>
          <w:sz w:val="24"/>
          <w:szCs w:val="24"/>
          <w:u w:color="000000"/>
          <w:bdr w:val="nil"/>
          <w:lang w:eastAsia="es-MX"/>
        </w:rPr>
        <w:t>.</w:t>
      </w:r>
      <w:r w:rsidRPr="002E074E">
        <w:rPr>
          <w:rFonts w:ascii="Arial" w:hAnsi="Arial" w:cs="Arial"/>
          <w:sz w:val="24"/>
          <w:szCs w:val="24"/>
          <w:u w:color="000000"/>
          <w:bdr w:val="nil"/>
          <w:lang w:eastAsia="es-MX"/>
        </w:rPr>
        <w:t xml:space="preserve"> Los titulares de los Sujetos Obligados mediante acuerdo que deberá publicarse en el Periódico Oficial "Tierra y Libertad", establecerán una Unidad de Transparencia, procurando que quien funja como responsable tenga conocimiento de la materia; preferentemente se encontrará certificado en los estándares de competencia.</w:t>
      </w:r>
    </w:p>
    <w:p w14:paraId="3C3EAAD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El Instituto promoverá la profesionalización, capacitación y certificación a cada uno de los titulares de las Unidades de Transparencia; para tal efecto celebrará los convenios necesarios con las instituciones especializadas para cumplir lo previsto en el presente artículo.</w:t>
      </w:r>
    </w:p>
    <w:p w14:paraId="4B2D97A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F1FEAC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Unidad de Transparencia contará con el presupuesto, personal, apoyo técnico e instalaciones necesarias para realizar las funciones que señala la presente Ley.</w:t>
      </w:r>
    </w:p>
    <w:p w14:paraId="767F0A4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promoverán acuerdos con instituciones públicas especializadas que pudieran auxiliarles a entregar las repuestas a solicitudes de información, en la lengua indígena, braille o cualquier formato accesible correspondiente, en forma más eficiente.</w:t>
      </w:r>
    </w:p>
    <w:p w14:paraId="02BAC0F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189251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27.</w:t>
      </w:r>
      <w:r w:rsidRPr="002E074E">
        <w:rPr>
          <w:rFonts w:ascii="Arial" w:hAnsi="Arial" w:cs="Arial"/>
          <w:sz w:val="24"/>
          <w:szCs w:val="24"/>
          <w:u w:color="000000"/>
          <w:bdr w:val="nil"/>
          <w:lang w:eastAsia="es-MX"/>
        </w:rPr>
        <w:t xml:space="preserve"> La Unidad de Transparencia tendrá las siguientes funciones:</w:t>
      </w:r>
    </w:p>
    <w:p w14:paraId="15608BA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3DB055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Recabar y difundir la información a que se refiere los Capítulos II y III del Título Quinto de esta Ley, y propiciar que las Áreas la actualicen periódicamente conforme la normatividad aplicable;</w:t>
      </w:r>
    </w:p>
    <w:p w14:paraId="746811B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Recibir y dar trámite a las solicitudes de acceso a la información;</w:t>
      </w:r>
    </w:p>
    <w:p w14:paraId="577BE3F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Auxiliar a los particulares en la elaboración de solicitudes de acceso a la información y, en su caso, orientarlos sobre los Sujetos Obligados competentes conforme a la normativa aplicable;</w:t>
      </w:r>
    </w:p>
    <w:p w14:paraId="46E5FA0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Realizar los trámites internos necesarios para la atención de las solicitudes de acceso a la información;</w:t>
      </w:r>
    </w:p>
    <w:p w14:paraId="7FB5192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Efectuar las notificaciones a los solicitantes;</w:t>
      </w:r>
    </w:p>
    <w:p w14:paraId="61930C1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Proponer al Comité de Transparencia los procedimientos internos que aseguren la mayor eficiencia en la gestión de las solicitudes de acceso a la información conforme a la normatividad aplicable;</w:t>
      </w:r>
    </w:p>
    <w:p w14:paraId="6143B23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Llevar un registro de las solicitudes de acceso a la información, respuestas, resultados, costos de reproducción y envío;</w:t>
      </w:r>
    </w:p>
    <w:p w14:paraId="7D19868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Promover e implementar políticas de transparencia proactiva procurando su accesibilidad;</w:t>
      </w:r>
    </w:p>
    <w:p w14:paraId="5749F37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Fomentar la transparencia y accesibilidad al interior de los Sujetos Obligados;</w:t>
      </w:r>
    </w:p>
    <w:p w14:paraId="4B0E8FD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Administrar, sistematizar, archivar y resguardar la información clasificada como reservada y confidencial en coordinación con las dependencias y Áreas correspondientes, y</w:t>
      </w:r>
    </w:p>
    <w:p w14:paraId="08B058D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XI. Las necesarias para facilitar el ejercicio del derecho de acceso a la información y la protección general de datos personales de acuerdo con los principios y preceptos establecidos en la presente Ley y demás normativa aplicable.</w:t>
      </w:r>
    </w:p>
    <w:p w14:paraId="704CD2A5"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E39FA0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28.</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Los Sujetos Obligados pondrán a disposición de las personas interesadas equipos de cómputo con acceso a la Internet, que permitan a los particulares consultar la información o utilizar el sistema de solicitudes de acceso a la información en las oficinas de la Unidad de Transparencia. Lo anterior, sin perjuicio de que adicionalmente se utilicen medios alternativos de difusión de la información, cuando en determinadas poblaciones éstos resulten de más fácil acceso y comprensión.</w:t>
      </w:r>
    </w:p>
    <w:p w14:paraId="2139C29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FEA47A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29.</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Cuando alguna Área de los Sujetos Obligados se negare a colaborar con la Unidad de Transparencia, ésta dará aviso al superior jerárquico para que le ordene realizar sin demora las acciones conducentes.</w:t>
      </w:r>
    </w:p>
    <w:p w14:paraId="19CCECF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5AB011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persista la negativa de colaboración, la Unidad de Transparencia lo hará del conocimiento de la autoridad competente para que se inicie, en su caso, el procedimiento de responsabilidad respectivo.</w:t>
      </w:r>
    </w:p>
    <w:p w14:paraId="6C55AEE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E232B02"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IV</w:t>
      </w:r>
    </w:p>
    <w:p w14:paraId="1635BEFA"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DEL CONSEJO CONSULTIVO</w:t>
      </w:r>
    </w:p>
    <w:p w14:paraId="26EC28BB" w14:textId="77777777" w:rsidR="00E85802" w:rsidRPr="00B4563E"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4CE3525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B4563E">
        <w:rPr>
          <w:rFonts w:ascii="Arial" w:hAnsi="Arial" w:cs="Arial"/>
          <w:b/>
          <w:bCs/>
          <w:sz w:val="24"/>
          <w:szCs w:val="24"/>
          <w:u w:color="000000"/>
          <w:bdr w:val="nil"/>
          <w:lang w:eastAsia="es-MX"/>
        </w:rPr>
        <w:t>30.</w:t>
      </w:r>
      <w:r w:rsidRPr="002E074E">
        <w:rPr>
          <w:rFonts w:ascii="Arial" w:hAnsi="Arial" w:cs="Arial"/>
          <w:sz w:val="24"/>
          <w:szCs w:val="24"/>
          <w:u w:color="000000"/>
          <w:bdr w:val="nil"/>
          <w:lang w:eastAsia="es-MX"/>
        </w:rPr>
        <w:t xml:space="preserve"> El Instituto contará con un Consejo Consultivo que se integrará por tres </w:t>
      </w:r>
      <w:proofErr w:type="gramStart"/>
      <w:r w:rsidRPr="002E074E">
        <w:rPr>
          <w:rFonts w:ascii="Arial" w:hAnsi="Arial" w:cs="Arial"/>
          <w:sz w:val="24"/>
          <w:szCs w:val="24"/>
          <w:u w:color="000000"/>
          <w:bdr w:val="nil"/>
          <w:lang w:eastAsia="es-MX"/>
        </w:rPr>
        <w:t>Consejeros</w:t>
      </w:r>
      <w:proofErr w:type="gramEnd"/>
      <w:r w:rsidRPr="002E074E">
        <w:rPr>
          <w:rFonts w:ascii="Arial" w:hAnsi="Arial" w:cs="Arial"/>
          <w:sz w:val="24"/>
          <w:szCs w:val="24"/>
          <w:u w:color="000000"/>
          <w:bdr w:val="nil"/>
          <w:lang w:eastAsia="es-MX"/>
        </w:rPr>
        <w:t xml:space="preserve"> honoríficos, mismos que serán designados por el Pleno del Consejo de dicho Instituto, mediante convocatoria que deberá publicarse en el Periódico Oficial “Tierra y Libertad” y durarán en sus cargos tres años, siempre que reúnan los requisitos siguientes:</w:t>
      </w:r>
    </w:p>
    <w:p w14:paraId="47DACD9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00DE89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Ser ciudadano mexicano, preferentemente morelense en los términos de la Constitución;</w:t>
      </w:r>
    </w:p>
    <w:p w14:paraId="20A1587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Tener treinta y cinco años cumplidos el día de su designación;</w:t>
      </w:r>
    </w:p>
    <w:p w14:paraId="68CC15D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No haber sido </w:t>
      </w:r>
      <w:proofErr w:type="gramStart"/>
      <w:r w:rsidRPr="002E074E">
        <w:rPr>
          <w:rFonts w:ascii="Arial" w:hAnsi="Arial" w:cs="Arial"/>
          <w:sz w:val="24"/>
          <w:szCs w:val="24"/>
          <w:u w:color="000000"/>
          <w:bdr w:val="nil"/>
          <w:lang w:eastAsia="es-MX"/>
        </w:rPr>
        <w:t>Secretario</w:t>
      </w:r>
      <w:proofErr w:type="gramEnd"/>
      <w:r w:rsidRPr="002E074E">
        <w:rPr>
          <w:rFonts w:ascii="Arial" w:hAnsi="Arial" w:cs="Arial"/>
          <w:sz w:val="24"/>
          <w:szCs w:val="24"/>
          <w:u w:color="000000"/>
          <w:bdr w:val="nil"/>
          <w:lang w:eastAsia="es-MX"/>
        </w:rPr>
        <w:t xml:space="preserve"> de Despacho, </w:t>
      </w:r>
      <w:proofErr w:type="gramStart"/>
      <w:r w:rsidRPr="002E074E">
        <w:rPr>
          <w:rFonts w:ascii="Arial" w:hAnsi="Arial" w:cs="Arial"/>
          <w:sz w:val="24"/>
          <w:szCs w:val="24"/>
          <w:u w:color="000000"/>
          <w:bdr w:val="nil"/>
          <w:lang w:eastAsia="es-MX"/>
        </w:rPr>
        <w:t>Fiscal General</w:t>
      </w:r>
      <w:proofErr w:type="gramEnd"/>
      <w:r w:rsidRPr="002E074E">
        <w:rPr>
          <w:rFonts w:ascii="Arial" w:hAnsi="Arial" w:cs="Arial"/>
          <w:sz w:val="24"/>
          <w:szCs w:val="24"/>
          <w:u w:color="000000"/>
          <w:bdr w:val="nil"/>
          <w:lang w:eastAsia="es-MX"/>
        </w:rPr>
        <w:t xml:space="preserve"> del Estado, Fiscal Especializado en la Investigación de Hechos de Corrupción, Senador, Diputado Federal o Local, Auditor General de la Entidad, </w:t>
      </w:r>
      <w:proofErr w:type="gramStart"/>
      <w:r w:rsidRPr="002E074E">
        <w:rPr>
          <w:rFonts w:ascii="Arial" w:hAnsi="Arial" w:cs="Arial"/>
          <w:sz w:val="24"/>
          <w:szCs w:val="24"/>
          <w:u w:color="000000"/>
          <w:bdr w:val="nil"/>
          <w:lang w:eastAsia="es-MX"/>
        </w:rPr>
        <w:t>Consejero</w:t>
      </w:r>
      <w:proofErr w:type="gramEnd"/>
      <w:r w:rsidRPr="002E074E">
        <w:rPr>
          <w:rFonts w:ascii="Arial" w:hAnsi="Arial" w:cs="Arial"/>
          <w:sz w:val="24"/>
          <w:szCs w:val="24"/>
          <w:u w:color="000000"/>
          <w:bdr w:val="nil"/>
          <w:lang w:eastAsia="es-MX"/>
        </w:rPr>
        <w:t xml:space="preserve"> del Instituto Morelense </w:t>
      </w:r>
      <w:r w:rsidRPr="002E074E">
        <w:rPr>
          <w:rFonts w:ascii="Arial" w:hAnsi="Arial" w:cs="Arial"/>
          <w:sz w:val="24"/>
          <w:szCs w:val="24"/>
          <w:u w:color="000000"/>
          <w:bdr w:val="nil"/>
          <w:lang w:eastAsia="es-MX"/>
        </w:rPr>
        <w:lastRenderedPageBreak/>
        <w:t>de Procesos Electorales y Participación Ciudadana, integrante de algún Ayuntamiento, ni dirigente de algún partido o asociación política;</w:t>
      </w:r>
    </w:p>
    <w:p w14:paraId="786DB01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No haber sido ministro de culto religioso cuando menos dos años antes de su designación;</w:t>
      </w:r>
    </w:p>
    <w:p w14:paraId="23085E6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No haber sido sentenciado por delito doloso que merezca pena privativa de libertad;</w:t>
      </w:r>
    </w:p>
    <w:p w14:paraId="131A9AB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Contar con título y cédula profesional de grado universitario de licenciatura en cualquier campo del conocimiento, y</w:t>
      </w:r>
    </w:p>
    <w:p w14:paraId="7EAE3DA3" w14:textId="77777777" w:rsidR="00E85802" w:rsidRPr="00CA6966" w:rsidRDefault="00E85802" w:rsidP="00E85802">
      <w:pPr>
        <w:spacing w:after="0" w:line="240" w:lineRule="auto"/>
        <w:ind w:left="284"/>
        <w:jc w:val="both"/>
        <w:rPr>
          <w:rFonts w:ascii="Arial" w:hAnsi="Arial" w:cs="Arial"/>
          <w:bCs/>
          <w:sz w:val="24"/>
          <w:szCs w:val="24"/>
          <w:lang w:val="es-ES" w:eastAsia="es-ES"/>
        </w:rPr>
      </w:pPr>
      <w:r w:rsidRPr="00CA6966">
        <w:rPr>
          <w:rFonts w:ascii="Arial" w:hAnsi="Arial" w:cs="Arial"/>
          <w:bCs/>
          <w:sz w:val="24"/>
          <w:szCs w:val="24"/>
          <w:lang w:val="es-ES" w:eastAsia="es-ES"/>
        </w:rPr>
        <w:t>VII. Contar con conocimientos o experiencia en materia de transparencia, derecho de acceso a la información, archivos y protección de datos personales, rendición de cuentas o protección de los derechos humanos.</w:t>
      </w:r>
    </w:p>
    <w:p w14:paraId="7D7F8A46" w14:textId="77777777" w:rsidR="00E85802" w:rsidRPr="00CA6966" w:rsidRDefault="00E85802" w:rsidP="00E85802">
      <w:pPr>
        <w:spacing w:after="0" w:line="240" w:lineRule="auto"/>
        <w:jc w:val="both"/>
        <w:rPr>
          <w:rFonts w:ascii="Arial" w:eastAsia="Times New Roman" w:hAnsi="Arial" w:cs="Arial"/>
          <w:b/>
          <w:bCs/>
          <w:sz w:val="20"/>
          <w:szCs w:val="20"/>
          <w:lang w:val="es-ES" w:eastAsia="es-ES"/>
        </w:rPr>
      </w:pPr>
      <w:r w:rsidRPr="00CA6966">
        <w:rPr>
          <w:rFonts w:ascii="Arial" w:eastAsia="Times New Roman" w:hAnsi="Arial" w:cs="Arial"/>
          <w:b/>
          <w:bCs/>
          <w:sz w:val="20"/>
          <w:szCs w:val="20"/>
          <w:lang w:val="es-ES" w:eastAsia="es-ES"/>
        </w:rPr>
        <w:t>NOTAS:</w:t>
      </w:r>
    </w:p>
    <w:p w14:paraId="20E8AD92" w14:textId="77777777" w:rsidR="00E85802" w:rsidRPr="00CA6966" w:rsidRDefault="00E85802" w:rsidP="00E85802">
      <w:pPr>
        <w:spacing w:after="0" w:line="240" w:lineRule="auto"/>
        <w:jc w:val="both"/>
        <w:rPr>
          <w:rFonts w:ascii="Arial" w:eastAsia="Helvetica" w:hAnsi="Arial" w:cs="Arial"/>
          <w:sz w:val="20"/>
          <w:szCs w:val="20"/>
          <w:u w:color="000000"/>
          <w:bdr w:val="nil"/>
          <w:lang w:eastAsia="es-MX"/>
        </w:rPr>
      </w:pPr>
      <w:r w:rsidRPr="00CA6966">
        <w:rPr>
          <w:rFonts w:ascii="Arial" w:eastAsia="Times New Roman" w:hAnsi="Arial" w:cs="Arial"/>
          <w:b/>
          <w:bCs/>
          <w:sz w:val="20"/>
          <w:szCs w:val="20"/>
          <w:lang w:val="es-ES" w:eastAsia="es-ES"/>
        </w:rPr>
        <w:t xml:space="preserve">REFORMA </w:t>
      </w:r>
      <w:proofErr w:type="gramStart"/>
      <w:r w:rsidRPr="00CA6966">
        <w:rPr>
          <w:rFonts w:ascii="Arial" w:eastAsia="Times New Roman" w:hAnsi="Arial" w:cs="Arial"/>
          <w:b/>
          <w:bCs/>
          <w:sz w:val="20"/>
          <w:szCs w:val="20"/>
          <w:lang w:val="es-ES" w:eastAsia="es-ES"/>
        </w:rPr>
        <w:t>VIGENTE.-</w:t>
      </w:r>
      <w:proofErr w:type="gramEnd"/>
      <w:r w:rsidRPr="00CA6966">
        <w:rPr>
          <w:rFonts w:ascii="Arial" w:eastAsia="Times New Roman" w:hAnsi="Arial" w:cs="Arial"/>
          <w:bCs/>
          <w:sz w:val="20"/>
          <w:szCs w:val="20"/>
          <w:lang w:val="es-ES" w:eastAsia="es-ES"/>
        </w:rPr>
        <w:t xml:space="preserve"> Reformada la fracción VII, por artículo primero del Decreto No. 1756 publicada en el Periódico Oficial “Tierra y Libertad” No. 5490 de fecha 2017/04/19. Vigencia 2017/04/20. </w:t>
      </w:r>
      <w:r w:rsidRPr="00CA6966">
        <w:rPr>
          <w:rFonts w:ascii="Arial" w:eastAsia="Times New Roman" w:hAnsi="Arial" w:cs="Arial"/>
          <w:b/>
          <w:bCs/>
          <w:sz w:val="20"/>
          <w:szCs w:val="20"/>
          <w:lang w:val="es-ES" w:eastAsia="es-ES"/>
        </w:rPr>
        <w:t>Antes decía:</w:t>
      </w:r>
      <w:r w:rsidRPr="00CA6966">
        <w:rPr>
          <w:rFonts w:ascii="Arial" w:eastAsia="Times New Roman" w:hAnsi="Arial" w:cs="Arial"/>
          <w:bCs/>
          <w:sz w:val="20"/>
          <w:szCs w:val="20"/>
          <w:lang w:val="es-ES" w:eastAsia="es-ES"/>
        </w:rPr>
        <w:t xml:space="preserve"> </w:t>
      </w:r>
      <w:r w:rsidRPr="00CA6966">
        <w:rPr>
          <w:rFonts w:ascii="Arial" w:hAnsi="Arial" w:cs="Arial"/>
          <w:sz w:val="20"/>
          <w:szCs w:val="20"/>
          <w:u w:color="000000"/>
          <w:bdr w:val="nil"/>
          <w:lang w:eastAsia="es-MX"/>
        </w:rPr>
        <w:t>VII. Contar con conocimientos en materia de trasparencia, derecho de acceso a la información, archivos y protección de datos personales, acreditados por una institución educativa o con su experiencia laboral.</w:t>
      </w:r>
    </w:p>
    <w:p w14:paraId="1957838C" w14:textId="77777777" w:rsidR="00E85802" w:rsidRPr="00CA6966" w:rsidRDefault="00E85802" w:rsidP="00E85802">
      <w:pPr>
        <w:pBdr>
          <w:top w:val="nil"/>
          <w:left w:val="nil"/>
          <w:bottom w:val="nil"/>
          <w:right w:val="nil"/>
          <w:between w:val="nil"/>
          <w:bar w:val="nil"/>
        </w:pBdr>
        <w:spacing w:after="0" w:line="240" w:lineRule="auto"/>
        <w:jc w:val="both"/>
        <w:rPr>
          <w:rFonts w:ascii="Arial" w:hAnsi="Arial" w:cs="Arial"/>
          <w:bCs/>
          <w:sz w:val="20"/>
          <w:szCs w:val="20"/>
          <w:u w:color="000000"/>
          <w:bdr w:val="nil"/>
          <w:lang w:eastAsia="es-MX"/>
        </w:rPr>
      </w:pPr>
    </w:p>
    <w:p w14:paraId="4D5E4C9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31.</w:t>
      </w:r>
      <w:r w:rsidRPr="002E074E">
        <w:rPr>
          <w:rFonts w:ascii="Arial" w:hAnsi="Arial" w:cs="Arial"/>
          <w:sz w:val="24"/>
          <w:szCs w:val="24"/>
          <w:u w:color="000000"/>
          <w:bdr w:val="nil"/>
          <w:lang w:eastAsia="es-MX"/>
        </w:rPr>
        <w:t xml:space="preserve"> El Consejo Consultivo contará con las siguientes facultades:</w:t>
      </w:r>
    </w:p>
    <w:p w14:paraId="35AD995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FE19AC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Opinar sobre el Programa Anual de Trabajo y su cumplimiento;</w:t>
      </w:r>
    </w:p>
    <w:p w14:paraId="6CFC29F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Opinar sobre el proyecto de presupuesto para el ejercicio del año siguiente;</w:t>
      </w:r>
    </w:p>
    <w:p w14:paraId="20E21EB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Conocer el informe del Instituto sobre el presupuesto asignado a programas y el ejercicio presupuestal y emitir las observaciones correspondientes;</w:t>
      </w:r>
    </w:p>
    <w:p w14:paraId="1DC0A78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Emitir opiniones no vinculantes, a petición del Instituto o por iniciativa propia, sobre temas relevantes en las materias de transparencia, acceso a la información, accesibilidad y protección de datos personales;</w:t>
      </w:r>
    </w:p>
    <w:p w14:paraId="02E87CA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Emitir opiniones técnicas para la mejora continua en el ejercicio de las funciones sustantivas del Instituto;</w:t>
      </w:r>
    </w:p>
    <w:p w14:paraId="2C01ED0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Opinar sobre la adopción de criterios generales en materia sustantiva, y</w:t>
      </w:r>
    </w:p>
    <w:p w14:paraId="60EE01E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Analizar y proponer la ejecución de programas, proyectos y acciones relacionadas con las materias de transparencia, acceso a la información y su accesibilidad.</w:t>
      </w:r>
    </w:p>
    <w:p w14:paraId="25CBD0CA"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17158F01"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TÍTULO TERCERO</w:t>
      </w:r>
    </w:p>
    <w:p w14:paraId="311BE6FD"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PARTICIPACIÓN DEL INSTITUTO EN EL SISTEMA NACIONAL DE TRANSPARENCIA Y DE LA PLATAFORMA ELECTRÓNICA</w:t>
      </w:r>
    </w:p>
    <w:p w14:paraId="484A7886"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lastRenderedPageBreak/>
        <w:t>CAPÍTULO I</w:t>
      </w:r>
    </w:p>
    <w:p w14:paraId="6BFE8A90"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PARTICIPACIÓN DEL INSTITUTO EN EL SISTEMA NACIONAL DE TRANSPARENCIA</w:t>
      </w:r>
    </w:p>
    <w:p w14:paraId="1F16A702"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311B26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32.</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Instituto será parte del Sistema Nacional de Transparencia, a través de los integrantes del Pleno, conforme a las atribuciones establecidas en la normativa aplicable.</w:t>
      </w:r>
    </w:p>
    <w:p w14:paraId="18F5AF2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44D123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El </w:t>
      </w:r>
      <w:proofErr w:type="gramStart"/>
      <w:r w:rsidRPr="002E074E">
        <w:rPr>
          <w:rFonts w:ascii="Arial" w:hAnsi="Arial" w:cs="Arial"/>
          <w:sz w:val="24"/>
          <w:szCs w:val="24"/>
          <w:u w:color="000000"/>
          <w:bdr w:val="nil"/>
          <w:lang w:eastAsia="es-MX"/>
        </w:rPr>
        <w:t>Presidente</w:t>
      </w:r>
      <w:proofErr w:type="gramEnd"/>
      <w:r w:rsidRPr="002E074E">
        <w:rPr>
          <w:rFonts w:ascii="Arial" w:hAnsi="Arial" w:cs="Arial"/>
          <w:sz w:val="24"/>
          <w:szCs w:val="24"/>
          <w:u w:color="000000"/>
          <w:bdr w:val="nil"/>
          <w:lang w:eastAsia="es-MX"/>
        </w:rPr>
        <w:t xml:space="preserve"> del Instituto formará parte del Consejo Nacional del Sistema Nacional de Transparencia llevando en todo momento la representación del Pleno del mismo en la toma de decisiones al interior del Consejo, y de conformidad con lo que señala la Ley General y demás normativa aplicable.</w:t>
      </w:r>
    </w:p>
    <w:p w14:paraId="3BC0471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A73C393"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II</w:t>
      </w:r>
    </w:p>
    <w:p w14:paraId="2622BB2A"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PLATAFORMA ELECTRÓNICA DE TRANSPARENCIA</w:t>
      </w:r>
    </w:p>
    <w:p w14:paraId="1D730F27" w14:textId="77777777" w:rsidR="00E85802" w:rsidRPr="00B4563E"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62191D4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33.</w:t>
      </w:r>
      <w:r w:rsidRPr="00B4563E">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El Instituto desarrollará, administrará e implementará y pondrá en funcionamiento la Plataforma Electrónica que permita cumplir con los procedimientos, obligaciones y disposiciones señaladas en la presente Ley para los Sujetos Obligados, los cuales deberán incorporarse a la misma de conformidad con la presente, la Ley General y demás normativa aplicable, ponderando en todo momento las necesidades de accesibilidad de los usuarios.</w:t>
      </w:r>
    </w:p>
    <w:p w14:paraId="78857CB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40E7AB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Sin menoscabo de lo establecido en el artículo anterior, los procedimientos tendientes a garantizar el Derecho Humano de Acceso a la Información realizados por los Sujetos Obligados y el Instituto, se incorporarán a la Plataforma Nacional.</w:t>
      </w:r>
    </w:p>
    <w:p w14:paraId="2A863FE8"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B4E6C1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B4563E">
        <w:rPr>
          <w:rFonts w:ascii="Arial" w:hAnsi="Arial" w:cs="Arial"/>
          <w:b/>
          <w:bCs/>
          <w:sz w:val="24"/>
          <w:szCs w:val="24"/>
          <w:u w:color="000000"/>
          <w:bdr w:val="nil"/>
          <w:lang w:eastAsia="es-MX"/>
        </w:rPr>
        <w:t>Artículo 34.</w:t>
      </w:r>
      <w:r w:rsidRPr="002E074E">
        <w:rPr>
          <w:rFonts w:ascii="Arial" w:hAnsi="Arial" w:cs="Arial"/>
          <w:sz w:val="24"/>
          <w:szCs w:val="24"/>
          <w:u w:color="000000"/>
          <w:bdr w:val="nil"/>
          <w:lang w:eastAsia="es-MX"/>
        </w:rPr>
        <w:t xml:space="preserve"> El Instituto promoverá la publicación de la información en Datos abiertos.</w:t>
      </w:r>
    </w:p>
    <w:p w14:paraId="0A94984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1A29604"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TÍTULO CUARTO</w:t>
      </w:r>
    </w:p>
    <w:p w14:paraId="5561D019"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CULTURA DE TRANSPARENCIA Y APERTURA GUBERNAMENTAL</w:t>
      </w:r>
    </w:p>
    <w:p w14:paraId="24793536"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58FB2DA9"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CAPÍTULO I</w:t>
      </w:r>
    </w:p>
    <w:p w14:paraId="37138C74" w14:textId="77777777" w:rsidR="00E85802" w:rsidRPr="00B4563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B4563E">
        <w:rPr>
          <w:rFonts w:ascii="Arial" w:hAnsi="Arial" w:cs="Arial"/>
          <w:b/>
          <w:bCs/>
          <w:sz w:val="24"/>
          <w:szCs w:val="24"/>
          <w:u w:color="000000"/>
          <w:bdr w:val="nil"/>
          <w:lang w:eastAsia="es-MX"/>
        </w:rPr>
        <w:t>DE LA PROMOCIÓN DE LA TRANSPARENCIA Y EL DERECHO DE ACCESO A LA INFORMACIÓN</w:t>
      </w:r>
    </w:p>
    <w:p w14:paraId="11DB92E9"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B4563E">
        <w:rPr>
          <w:rFonts w:ascii="Arial" w:eastAsia="Arial Unicode MS" w:hAnsi="Arial" w:cs="Arial"/>
          <w:b/>
          <w:bCs/>
          <w:sz w:val="24"/>
          <w:szCs w:val="24"/>
          <w:bdr w:val="nil"/>
          <w:lang w:eastAsia="es-MX"/>
        </w:rPr>
        <w:lastRenderedPageBreak/>
        <w:t>Artículo 35.</w:t>
      </w:r>
      <w:r w:rsidRPr="002E074E">
        <w:rPr>
          <w:rFonts w:ascii="Arial" w:eastAsia="Arial Unicode MS" w:hAnsi="Arial" w:cs="Arial"/>
          <w:sz w:val="24"/>
          <w:szCs w:val="24"/>
          <w:bdr w:val="nil"/>
          <w:lang w:eastAsia="es-MX"/>
        </w:rPr>
        <w:t xml:space="preserve"> Los Sujetos Obligados deberán cooperar con el Instituto para capacitar y actualizar, de forma permanente, a todos sus servidores públicos en materia del derecho de acceso a la información, a través de los medios que se consideren pertinentes. </w:t>
      </w:r>
    </w:p>
    <w:p w14:paraId="2F9FBB9A"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1DECDD50"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Con el objeto de crear una cultura de la transparencia y acceso a la información entre los habitantes del estado de Morelos, el Instituto deberá promover, en colaboración con instituciones educativas y culturales de los sectores público o privado, actividades, mesas de trabajo, exposiciones y concursos relativos a la transparencia y acceso a la información. </w:t>
      </w:r>
    </w:p>
    <w:p w14:paraId="22F2FBCA"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5EB230EC"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B4563E">
        <w:rPr>
          <w:rFonts w:ascii="Arial" w:eastAsia="Arial Unicode MS" w:hAnsi="Arial" w:cs="Arial"/>
          <w:b/>
          <w:bCs/>
          <w:sz w:val="24"/>
          <w:szCs w:val="24"/>
          <w:bdr w:val="nil"/>
          <w:lang w:eastAsia="es-MX"/>
        </w:rPr>
        <w:t>Artículo 36.</w:t>
      </w:r>
      <w:r w:rsidRPr="002E074E">
        <w:rPr>
          <w:rFonts w:ascii="Arial" w:eastAsia="Arial Unicode MS" w:hAnsi="Arial" w:cs="Arial"/>
          <w:sz w:val="24"/>
          <w:szCs w:val="24"/>
          <w:bdr w:val="nil"/>
          <w:lang w:eastAsia="es-MX"/>
        </w:rPr>
        <w:t xml:space="preserve"> El Instituto, en el ámbito de su respectiva competencia o a través de los mecanismos de coordinación que al efecto establezca, podrá:</w:t>
      </w:r>
    </w:p>
    <w:p w14:paraId="750BC4F1"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5F8F5160" w14:textId="77777777" w:rsidR="00E85802" w:rsidRPr="002E074E" w:rsidRDefault="00E85802" w:rsidP="000635FA">
      <w:pPr>
        <w:numPr>
          <w:ilvl w:val="0"/>
          <w:numId w:val="17"/>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Proponer a las autoridades educativas competentes que incluyan contenidos sobre la importancia social del derecho de acceso a la información en los planes y programas de estudio de educación preescolar, primaria, secundaria y normal, así como para la formación de maestros de educación básica en sus respectivas jurisdicciones;</w:t>
      </w:r>
    </w:p>
    <w:p w14:paraId="1831CB96"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Promover entre las instituciones públicas y privadas de educación media superior y superior, la inclusión, dentro de sus programas de estudio, </w:t>
      </w:r>
      <w:r w:rsidRPr="002E074E">
        <w:rPr>
          <w:rFonts w:ascii="Arial" w:eastAsia="Arial Unicode MS" w:hAnsi="Arial" w:cs="Arial"/>
          <w:w w:val="90"/>
          <w:sz w:val="24"/>
          <w:szCs w:val="24"/>
          <w:bdr w:val="nil"/>
          <w:lang w:eastAsia="es-MX"/>
        </w:rPr>
        <w:t>actividades académicas curriculares y extracurriculares, de temas que ponderen la</w:t>
      </w:r>
      <w:r w:rsidRPr="002E074E">
        <w:rPr>
          <w:rFonts w:ascii="Arial" w:eastAsia="Arial Unicode MS" w:hAnsi="Arial" w:cs="Arial"/>
          <w:sz w:val="24"/>
          <w:szCs w:val="24"/>
          <w:bdr w:val="nil"/>
          <w:lang w:eastAsia="es-MX"/>
        </w:rPr>
        <w:t xml:space="preserve"> importancia social del derecho de acceso a la información y rendición de cuentas; </w:t>
      </w:r>
    </w:p>
    <w:p w14:paraId="495BE8B2"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Promover que en las bibliotecas y entidades especializadas en materia de archivos se prevea la instalación de módulos de información pública, que faciliten el ejercicio del derecho de acceso a la información y la consulta de la información derivada de las obligaciones de transparencia a que se refiere esta Ley;</w:t>
      </w:r>
    </w:p>
    <w:p w14:paraId="65FADF23"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Proponer entre las instituciones públicas y privadas de educación superior, la creación de centros de investigación, difusión y docencia sobre transparencia, derecho de acceso a la información y rendición de cuentas; </w:t>
      </w:r>
    </w:p>
    <w:p w14:paraId="644F1FD3"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Establecer entre las instituciones públicas de educación, acuerdos para la elaboración y publicación de materiales que fomenten la cultura del derecho de acceso a la información y rendición de cuentas; </w:t>
      </w:r>
    </w:p>
    <w:p w14:paraId="4A84C0E3"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Promover, en coordinación con autoridades federales, estatales y municipales, la participación ciudadana y de organizaciones sociales en talleres, </w:t>
      </w:r>
      <w:r w:rsidRPr="002E074E">
        <w:rPr>
          <w:rFonts w:ascii="Arial" w:eastAsia="Arial Unicode MS" w:hAnsi="Arial" w:cs="Arial"/>
          <w:sz w:val="24"/>
          <w:szCs w:val="24"/>
          <w:bdr w:val="nil"/>
          <w:lang w:eastAsia="es-MX"/>
        </w:rPr>
        <w:lastRenderedPageBreak/>
        <w:t xml:space="preserve">seminarios y actividades que tengan por objeto la difusión de los temas de transparencia y derecho de acceso a la información; </w:t>
      </w:r>
    </w:p>
    <w:p w14:paraId="61E89922"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 xml:space="preserve">Desarrollar programas de formación de usuarios de este derecho para incrementar su ejercicio y aprovechamiento, privilegiando a integrantes de sectores vulnerables o marginados de la población; </w:t>
      </w:r>
    </w:p>
    <w:p w14:paraId="334790EF" w14:textId="77777777" w:rsidR="00E85802" w:rsidRPr="002E074E" w:rsidRDefault="00E85802" w:rsidP="00F421EF">
      <w:pPr>
        <w:numPr>
          <w:ilvl w:val="0"/>
          <w:numId w:val="18"/>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Impulsar estrategias que pongan al alcance de los diversos sectores de la sociedad los medios para el ejercicio del derecho de acceso a la información, acordes a su contexto sociocultural, y</w:t>
      </w:r>
    </w:p>
    <w:p w14:paraId="5B8FE3A9" w14:textId="77777777" w:rsidR="00E85802" w:rsidRPr="002E074E" w:rsidRDefault="00E85802" w:rsidP="003C3B41">
      <w:pPr>
        <w:numPr>
          <w:ilvl w:val="0"/>
          <w:numId w:val="17"/>
        </w:numPr>
        <w:pBdr>
          <w:top w:val="nil"/>
          <w:left w:val="nil"/>
          <w:bottom w:val="nil"/>
          <w:right w:val="nil"/>
          <w:between w:val="nil"/>
          <w:bar w:val="nil"/>
        </w:pBdr>
        <w:tabs>
          <w:tab w:val="left" w:pos="993"/>
        </w:tabs>
        <w:spacing w:after="0" w:line="240" w:lineRule="auto"/>
        <w:ind w:left="284" w:firstLine="0"/>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Desarrollar, con el concurso de centros comunitarios digitales y bibliotecas públicas, universitarias, gubernamentales y especializadas, programas para la asesoría y orientación de sus usuarios en el ejercicio y aprovechamiento del derecho de acceso a la información.</w:t>
      </w:r>
    </w:p>
    <w:p w14:paraId="3A1DA522"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p>
    <w:p w14:paraId="1E54E1EB"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B4563E">
        <w:rPr>
          <w:rFonts w:ascii="Arial" w:eastAsia="Arial Unicode MS" w:hAnsi="Arial" w:cs="Arial"/>
          <w:b/>
          <w:bCs/>
          <w:sz w:val="24"/>
          <w:szCs w:val="24"/>
          <w:bdr w:val="nil"/>
          <w:lang w:eastAsia="es-MX"/>
        </w:rPr>
        <w:t>Artículo 37.</w:t>
      </w:r>
      <w:r w:rsidRPr="002E074E">
        <w:rPr>
          <w:rFonts w:ascii="Arial" w:eastAsia="Arial Unicode MS" w:hAnsi="Arial" w:cs="Arial"/>
          <w:sz w:val="24"/>
          <w:szCs w:val="24"/>
          <w:bdr w:val="nil"/>
          <w:lang w:eastAsia="es-MX"/>
        </w:rPr>
        <w:t xml:space="preserve"> Para el cumplimiento de las obligaciones previstas en la presente Ley, los Sujetos Obligados podrán desarrollar o adoptar, en lo individual o en acuerdo con otros, esquemas de mejores prácticas que tengan por objeto: </w:t>
      </w:r>
    </w:p>
    <w:p w14:paraId="396BC2AC"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76181334" w14:textId="77777777" w:rsidR="00E85802" w:rsidRPr="002E074E" w:rsidRDefault="00E85802" w:rsidP="00E85802">
      <w:pPr>
        <w:pBdr>
          <w:top w:val="nil"/>
          <w:left w:val="nil"/>
          <w:bottom w:val="nil"/>
          <w:right w:val="nil"/>
          <w:between w:val="nil"/>
          <w:bar w:val="nil"/>
        </w:pBdr>
        <w:tabs>
          <w:tab w:val="left" w:pos="993"/>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 </w:t>
      </w:r>
      <w:r w:rsidRPr="002E074E">
        <w:rPr>
          <w:rFonts w:ascii="Arial" w:eastAsia="Arial Unicode MS" w:hAnsi="Arial" w:cs="Arial"/>
          <w:sz w:val="24"/>
          <w:szCs w:val="24"/>
          <w:bdr w:val="nil"/>
          <w:lang w:eastAsia="es-MX"/>
        </w:rPr>
        <w:t xml:space="preserve">Elevar el nivel de cumplimiento de las disposiciones previstas en la presente Ley; </w:t>
      </w:r>
    </w:p>
    <w:p w14:paraId="14A5A01D" w14:textId="77777777" w:rsidR="00E85802" w:rsidRPr="002E074E" w:rsidRDefault="00E85802" w:rsidP="00E85802">
      <w:pPr>
        <w:pBdr>
          <w:top w:val="nil"/>
          <w:left w:val="nil"/>
          <w:bottom w:val="nil"/>
          <w:right w:val="nil"/>
          <w:between w:val="nil"/>
          <w:bar w:val="nil"/>
        </w:pBdr>
        <w:tabs>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II. </w:t>
      </w:r>
      <w:r w:rsidRPr="002E074E">
        <w:rPr>
          <w:rFonts w:ascii="Arial" w:eastAsia="Arial Unicode MS" w:hAnsi="Arial" w:cs="Arial"/>
          <w:sz w:val="24"/>
          <w:szCs w:val="24"/>
          <w:bdr w:val="nil"/>
          <w:lang w:eastAsia="es-MX"/>
        </w:rPr>
        <w:t xml:space="preserve">Armonizar el acceso a la información por sectores; </w:t>
      </w:r>
    </w:p>
    <w:p w14:paraId="30FC3381" w14:textId="77777777" w:rsidR="00E85802" w:rsidRPr="002E074E" w:rsidRDefault="00E85802" w:rsidP="00E85802">
      <w:pPr>
        <w:pBdr>
          <w:top w:val="nil"/>
          <w:left w:val="nil"/>
          <w:bottom w:val="nil"/>
          <w:right w:val="nil"/>
          <w:between w:val="nil"/>
          <w:bar w:val="nil"/>
        </w:pBdr>
        <w:tabs>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III. </w:t>
      </w:r>
      <w:r w:rsidRPr="002E074E">
        <w:rPr>
          <w:rFonts w:ascii="Arial" w:eastAsia="Arial Unicode MS" w:hAnsi="Arial" w:cs="Arial"/>
          <w:sz w:val="24"/>
          <w:szCs w:val="24"/>
          <w:bdr w:val="nil"/>
          <w:lang w:eastAsia="es-MX"/>
        </w:rPr>
        <w:t xml:space="preserve">Facilitar el ejercicio del derecho de acceso a la información a las personas, y </w:t>
      </w:r>
    </w:p>
    <w:p w14:paraId="5650B3D4" w14:textId="77777777" w:rsidR="00E85802" w:rsidRPr="002E074E" w:rsidRDefault="00E85802" w:rsidP="00E85802">
      <w:pPr>
        <w:pBdr>
          <w:top w:val="nil"/>
          <w:left w:val="nil"/>
          <w:bottom w:val="nil"/>
          <w:right w:val="nil"/>
          <w:between w:val="nil"/>
          <w:bar w:val="nil"/>
        </w:pBdr>
        <w:tabs>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jc w:val="both"/>
        <w:rPr>
          <w:rFonts w:ascii="Arial" w:eastAsia="Arial Unicode MS" w:hAnsi="Arial" w:cs="Arial"/>
          <w:sz w:val="24"/>
          <w:szCs w:val="24"/>
          <w:bdr w:val="nil"/>
          <w:lang w:eastAsia="es-MX"/>
        </w:rPr>
      </w:pPr>
      <w:r>
        <w:rPr>
          <w:rFonts w:ascii="Arial" w:eastAsia="Arial Unicode MS" w:hAnsi="Arial" w:cs="Arial"/>
          <w:sz w:val="24"/>
          <w:szCs w:val="24"/>
          <w:bdr w:val="nil"/>
          <w:lang w:eastAsia="es-MX"/>
        </w:rPr>
        <w:t xml:space="preserve">IV. </w:t>
      </w:r>
      <w:r w:rsidRPr="002E074E">
        <w:rPr>
          <w:rFonts w:ascii="Arial" w:eastAsia="Arial Unicode MS" w:hAnsi="Arial" w:cs="Arial"/>
          <w:sz w:val="24"/>
          <w:szCs w:val="24"/>
          <w:bdr w:val="nil"/>
          <w:lang w:eastAsia="es-MX"/>
        </w:rPr>
        <w:t xml:space="preserve">Procurar la accesibilidad de la información. </w:t>
      </w:r>
    </w:p>
    <w:p w14:paraId="710FAF4B" w14:textId="77777777" w:rsidR="00E85802" w:rsidRDefault="00E85802" w:rsidP="00E85802">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Cs/>
          <w:sz w:val="24"/>
          <w:szCs w:val="24"/>
          <w:bdr w:val="nil"/>
          <w:lang w:eastAsia="es-MX"/>
        </w:rPr>
      </w:pPr>
    </w:p>
    <w:p w14:paraId="01C4C3F1" w14:textId="77777777" w:rsidR="00E85802" w:rsidRPr="001F0026" w:rsidRDefault="00E85802" w:rsidP="00E85802">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CAPÍTULO II</w:t>
      </w:r>
    </w:p>
    <w:p w14:paraId="749D930B" w14:textId="77777777" w:rsidR="00E85802" w:rsidRPr="001F0026" w:rsidRDefault="00E85802" w:rsidP="00E85802">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DE LA TRANSPARENCIA PROACTIVA</w:t>
      </w:r>
    </w:p>
    <w:p w14:paraId="5C1F0A6D" w14:textId="77777777" w:rsidR="00E85802" w:rsidRPr="001F0026"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
          <w:bCs/>
          <w:sz w:val="24"/>
          <w:szCs w:val="24"/>
          <w:bdr w:val="nil"/>
          <w:lang w:eastAsia="es-MX"/>
        </w:rPr>
      </w:pPr>
    </w:p>
    <w:p w14:paraId="2DDFEB10"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38.</w:t>
      </w:r>
      <w:r w:rsidRPr="002E074E">
        <w:rPr>
          <w:rFonts w:ascii="Arial" w:eastAsia="Arial Unicode MS" w:hAnsi="Arial" w:cs="Arial"/>
          <w:sz w:val="24"/>
          <w:szCs w:val="24"/>
          <w:bdr w:val="nil"/>
          <w:lang w:eastAsia="es-MX"/>
        </w:rPr>
        <w:t xml:space="preserve"> El Instituto emitirá políticas de transparencia proactiva, en atención a los lineamientos generales definidos para ello por el Sistema Nacional, diseñadas para incentivar a los Sujetos Obligados a publicar información adicional a la que establece como mínimo la presente Ley. Dichas políticas tendrán por objeto, entre otros, promover la reutilización de la información que generan los Sujetos Obligados, considerando la demanda de la sociedad, identificada con base en las metodologías previamente establecidas. </w:t>
      </w:r>
    </w:p>
    <w:p w14:paraId="02499B22"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5CD1246B"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r w:rsidRPr="002E074E">
        <w:rPr>
          <w:rFonts w:ascii="Arial" w:eastAsia="Arial Unicode MS" w:hAnsi="Arial" w:cs="Arial"/>
          <w:bCs/>
          <w:sz w:val="24"/>
          <w:szCs w:val="24"/>
          <w:bdr w:val="nil"/>
          <w:lang w:val="de-DE" w:eastAsia="es-MX"/>
        </w:rPr>
        <w:t xml:space="preserve">Con el fin de </w:t>
      </w:r>
      <w:r w:rsidRPr="002E074E">
        <w:rPr>
          <w:rFonts w:ascii="Arial" w:eastAsia="Arial Unicode MS" w:hAnsi="Arial" w:cs="Arial"/>
          <w:sz w:val="24"/>
          <w:szCs w:val="24"/>
          <w:bdr w:val="nil"/>
          <w:lang w:val="de-DE" w:eastAsia="es-MX"/>
        </w:rPr>
        <w:t xml:space="preserve">alentar las buenas prácticas de transparencia, la competitividad del Estado y garantizar los derechos humanos, el Instituto promoverá que las personas </w:t>
      </w:r>
      <w:r w:rsidRPr="002E074E">
        <w:rPr>
          <w:rFonts w:ascii="Arial" w:eastAsia="Arial Unicode MS" w:hAnsi="Arial" w:cs="Arial"/>
          <w:sz w:val="24"/>
          <w:szCs w:val="24"/>
          <w:bdr w:val="nil"/>
          <w:lang w:val="de-DE" w:eastAsia="es-MX"/>
        </w:rPr>
        <w:lastRenderedPageBreak/>
        <w:t>físicas o morales, que en el ejercicio de sus funciones o actividades empresariales realicen tareas de interés público, colectivo o de medio ambiente informen, mediante página electrónica, lo relacionado con ello, entregando la constancia correspondiente.</w:t>
      </w:r>
    </w:p>
    <w:p w14:paraId="5E6EF822"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p>
    <w:p w14:paraId="62322A55"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r w:rsidRPr="001F0026">
        <w:rPr>
          <w:rFonts w:ascii="Arial" w:eastAsia="Arial Unicode MS" w:hAnsi="Arial" w:cs="Arial"/>
          <w:b/>
          <w:bCs/>
          <w:sz w:val="24"/>
          <w:szCs w:val="24"/>
          <w:bdr w:val="nil"/>
          <w:lang w:eastAsia="es-MX"/>
        </w:rPr>
        <w:t>Artículo 39.</w:t>
      </w:r>
      <w:r w:rsidRPr="002E074E">
        <w:rPr>
          <w:rFonts w:ascii="Arial" w:eastAsia="Arial Unicode MS" w:hAnsi="Arial" w:cs="Arial"/>
          <w:sz w:val="24"/>
          <w:szCs w:val="24"/>
          <w:bdr w:val="nil"/>
          <w:lang w:eastAsia="es-MX"/>
        </w:rPr>
        <w:t xml:space="preserve"> La información publicada por los Sujetos Obligados, en el marco de la política de transparencia proactiva, se difundirá en los medios y formatos que más convengan al público al que va dirigida. </w:t>
      </w:r>
    </w:p>
    <w:p w14:paraId="398EF3FE"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bCs/>
          <w:sz w:val="24"/>
          <w:szCs w:val="24"/>
          <w:bdr w:val="nil"/>
          <w:lang w:eastAsia="es-MX"/>
        </w:rPr>
      </w:pPr>
    </w:p>
    <w:p w14:paraId="3C332D71"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40.</w:t>
      </w:r>
      <w:r w:rsidRPr="002E074E">
        <w:rPr>
          <w:rFonts w:ascii="Arial" w:eastAsia="Arial Unicode MS" w:hAnsi="Arial" w:cs="Arial"/>
          <w:bCs/>
          <w:sz w:val="24"/>
          <w:szCs w:val="24"/>
          <w:bdr w:val="nil"/>
          <w:lang w:eastAsia="es-MX"/>
        </w:rPr>
        <w:t xml:space="preserve"> </w:t>
      </w:r>
      <w:r w:rsidRPr="002E074E">
        <w:rPr>
          <w:rFonts w:ascii="Arial" w:eastAsia="Arial Unicode MS" w:hAnsi="Arial" w:cs="Arial"/>
          <w:sz w:val="24"/>
          <w:szCs w:val="24"/>
          <w:bdr w:val="nil"/>
          <w:lang w:eastAsia="es-MX"/>
        </w:rPr>
        <w:t xml:space="preserve">La información que se publique, como resultado de las políticas de transparencia, deberá permitir la generación de conocimiento público útil, para disminuir asimetrías de la información, mejorar los accesos a trámites y servicios, optimizar la toma de decisiones de autoridades o ciudadanos y deberá tener un objeto claro enfocado en las necesidades de sectores de la sociedad determinados o determinables. </w:t>
      </w:r>
    </w:p>
    <w:p w14:paraId="12631D8C"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7F7140FF" w14:textId="77777777" w:rsidR="00E85802" w:rsidRPr="001F0026" w:rsidRDefault="00E85802" w:rsidP="00E85802">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CAPÍTULO III</w:t>
      </w:r>
    </w:p>
    <w:p w14:paraId="36D77F3B" w14:textId="77777777" w:rsidR="00E85802" w:rsidRDefault="00E85802" w:rsidP="00E85802">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r w:rsidRPr="001F0026">
        <w:rPr>
          <w:rFonts w:ascii="Arial" w:eastAsia="Arial Unicode MS" w:hAnsi="Arial" w:cs="Arial"/>
          <w:b/>
          <w:bCs/>
          <w:sz w:val="24"/>
          <w:szCs w:val="24"/>
          <w:bdr w:val="nil"/>
          <w:lang w:eastAsia="es-MX"/>
        </w:rPr>
        <w:t>DEL GOBIERNO ABIERTO Y PARTICIPACIÓN SOCIAL</w:t>
      </w:r>
    </w:p>
    <w:p w14:paraId="0438D95F" w14:textId="77777777" w:rsidR="00E85802" w:rsidRPr="001F0026" w:rsidRDefault="00E85802" w:rsidP="00E85802">
      <w:pPr>
        <w:pBdr>
          <w:top w:val="nil"/>
          <w:left w:val="nil"/>
          <w:bottom w:val="nil"/>
          <w:right w:val="nil"/>
          <w:between w:val="nil"/>
          <w:bar w:val="nil"/>
        </w:pBd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Arial Unicode MS" w:hAnsi="Arial" w:cs="Arial"/>
          <w:b/>
          <w:bCs/>
          <w:sz w:val="24"/>
          <w:szCs w:val="24"/>
          <w:bdr w:val="nil"/>
          <w:lang w:eastAsia="es-MX"/>
        </w:rPr>
      </w:pPr>
    </w:p>
    <w:p w14:paraId="13F7CA4F"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41.</w:t>
      </w:r>
      <w:r w:rsidRPr="002E074E">
        <w:rPr>
          <w:rFonts w:ascii="Arial" w:eastAsia="Arial Unicode MS" w:hAnsi="Arial" w:cs="Arial"/>
          <w:bCs/>
          <w:sz w:val="24"/>
          <w:szCs w:val="24"/>
          <w:bdr w:val="nil"/>
          <w:lang w:eastAsia="es-MX"/>
        </w:rPr>
        <w:t xml:space="preserve"> </w:t>
      </w:r>
      <w:r w:rsidRPr="002E074E">
        <w:rPr>
          <w:rFonts w:ascii="Arial" w:eastAsia="Arial Unicode MS" w:hAnsi="Arial" w:cs="Arial"/>
          <w:sz w:val="24"/>
          <w:szCs w:val="24"/>
          <w:bdr w:val="nil"/>
          <w:lang w:eastAsia="es-MX"/>
        </w:rPr>
        <w:t xml:space="preserve">El Instituto, en el ámbito de sus atribuciones, coadyuvará con los Sujetos Obligados y representantes de la sociedad civil en la implementación de mecanismos de colaboración para la promoción de la apertura gubernamental. </w:t>
      </w:r>
    </w:p>
    <w:p w14:paraId="2419066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6F175EC1"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Promoverá espacios de comunicación, participación social, centros de investigación, difusión, capacitación y, en su caso, docencia sobre principios de gobierno abierto y transparencia proactiva, que estimulen el intercambio de ideas entre la sociedad, los órganos de representación ciudadana y los Sujetos Obligados.</w:t>
      </w:r>
    </w:p>
    <w:p w14:paraId="6E9AFAEF"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A99A786"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es-ES_tradnl" w:eastAsia="es-MX"/>
        </w:rPr>
      </w:pPr>
      <w:r w:rsidRPr="002E074E">
        <w:rPr>
          <w:rFonts w:ascii="Arial" w:eastAsia="Arial Unicode MS" w:hAnsi="Arial" w:cs="Arial"/>
          <w:sz w:val="24"/>
          <w:szCs w:val="24"/>
          <w:bdr w:val="nil"/>
          <w:lang w:val="es-ES_tradnl" w:eastAsia="es-MX"/>
        </w:rPr>
        <w:t>Los Sujetos Obligados impulsarán canales de comunicación con la sociedad, a través de las redes sociales y plataformas digitales que les permitan participar en la toma de decisiones.</w:t>
      </w:r>
    </w:p>
    <w:p w14:paraId="03BC8D89"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738E69AD"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r w:rsidRPr="001F0026">
        <w:rPr>
          <w:rFonts w:ascii="Arial" w:eastAsia="Arial Unicode MS" w:hAnsi="Arial" w:cs="Arial"/>
          <w:b/>
          <w:bCs/>
          <w:sz w:val="24"/>
          <w:szCs w:val="24"/>
          <w:bdr w:val="nil"/>
          <w:lang w:eastAsia="es-MX"/>
        </w:rPr>
        <w:t>Artículo 42.</w:t>
      </w:r>
      <w:r w:rsidRPr="002E074E">
        <w:rPr>
          <w:rFonts w:ascii="Arial" w:eastAsia="Arial Unicode MS" w:hAnsi="Arial" w:cs="Arial"/>
          <w:bCs/>
          <w:sz w:val="24"/>
          <w:szCs w:val="24"/>
          <w:bdr w:val="nil"/>
          <w:lang w:eastAsia="es-MX"/>
        </w:rPr>
        <w:t xml:space="preserve"> </w:t>
      </w:r>
      <w:r w:rsidRPr="002E074E">
        <w:rPr>
          <w:rFonts w:ascii="Arial" w:eastAsia="Arial Unicode MS" w:hAnsi="Arial" w:cs="Arial"/>
          <w:sz w:val="24"/>
          <w:szCs w:val="24"/>
          <w:bdr w:val="nil"/>
          <w:lang w:val="de-DE" w:eastAsia="es-MX"/>
        </w:rPr>
        <w:t xml:space="preserve">El Instituto gestionará y promoverá permanentemente ejercicios democráticos y participativos en la temática de gobierno abierto por parte de los Sujetos Obligados hacia la sociedad civil y consolidará acciones para difundir y validar aquellas mejores prácticas de participación comunitaria y mecanismos de </w:t>
      </w:r>
      <w:r w:rsidRPr="002E074E">
        <w:rPr>
          <w:rFonts w:ascii="Arial" w:eastAsia="Arial Unicode MS" w:hAnsi="Arial" w:cs="Arial"/>
          <w:sz w:val="24"/>
          <w:szCs w:val="24"/>
          <w:bdr w:val="nil"/>
          <w:lang w:val="de-DE" w:eastAsia="es-MX"/>
        </w:rPr>
        <w:lastRenderedPageBreak/>
        <w:t xml:space="preserve">apertura gubernamental, a través de la elaboración de un Plan de Acción Local que será desarrollado por un Secretariado Técnico Local.  </w:t>
      </w:r>
    </w:p>
    <w:p w14:paraId="397918CB"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val="de-DE" w:eastAsia="es-MX"/>
        </w:rPr>
      </w:pPr>
    </w:p>
    <w:p w14:paraId="75B902D4"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43.</w:t>
      </w:r>
      <w:r w:rsidRPr="002E074E">
        <w:rPr>
          <w:rFonts w:ascii="Arial" w:eastAsia="Arial Unicode MS" w:hAnsi="Arial" w:cs="Arial"/>
          <w:sz w:val="24"/>
          <w:szCs w:val="24"/>
          <w:bdr w:val="nil"/>
          <w:lang w:eastAsia="es-MX"/>
        </w:rPr>
        <w:t xml:space="preserve"> El Instituto promoverá de manera anual la implementación del Plan de Acción Local en el Estado, el cual se desarrollará a partir de la participación colaborativa de los diversos Sujetos Obligados por esta Ley y tendrá como objeto ser el documento rector que contenga los compromisos de gobierno abierto de la Entidad, que permitan solucionar problemas o atender demandas específicas de la sociedad, en coparticipación con la misma.</w:t>
      </w:r>
    </w:p>
    <w:p w14:paraId="55AE6C1C"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1F7659FF"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44.</w:t>
      </w:r>
      <w:r w:rsidRPr="002E074E">
        <w:rPr>
          <w:rFonts w:ascii="Arial" w:eastAsia="Arial Unicode MS" w:hAnsi="Arial" w:cs="Arial"/>
          <w:sz w:val="24"/>
          <w:szCs w:val="24"/>
          <w:bdr w:val="nil"/>
          <w:lang w:eastAsia="es-MX"/>
        </w:rPr>
        <w:t xml:space="preserve"> En el procedimiento de creación del Plan de Acción Local deberán observarse los principios de justicia, igualdad, equidad, imparcialidad y bien común.</w:t>
      </w:r>
    </w:p>
    <w:p w14:paraId="1A674DBA"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081D93FE"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El proceso para la elaboración del Plan de Acción Local será establecido en el reglamento respectivo.</w:t>
      </w:r>
    </w:p>
    <w:p w14:paraId="71C32C52"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678836B4"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1F0026">
        <w:rPr>
          <w:rFonts w:ascii="Arial" w:eastAsia="Arial Unicode MS" w:hAnsi="Arial" w:cs="Arial"/>
          <w:b/>
          <w:bCs/>
          <w:sz w:val="24"/>
          <w:szCs w:val="24"/>
          <w:bdr w:val="nil"/>
          <w:lang w:eastAsia="es-MX"/>
        </w:rPr>
        <w:t>Artículo 45.</w:t>
      </w:r>
      <w:r w:rsidRPr="002E074E">
        <w:rPr>
          <w:rFonts w:ascii="Arial" w:eastAsia="Arial Unicode MS" w:hAnsi="Arial" w:cs="Arial"/>
          <w:bCs/>
          <w:sz w:val="24"/>
          <w:szCs w:val="24"/>
          <w:bdr w:val="nil"/>
          <w:lang w:eastAsia="es-MX"/>
        </w:rPr>
        <w:t xml:space="preserve"> La implementación del Plan de Acción Local se llevará a cabo por el grupo colegiado denominado Secretariado Técnico Local, cuya integración será promovida por el Instituto de entre los Sujetos Obligados, así como por la representación de la sociedad civil, mediante convocatoria respectiva conforme a lo señalado en el reglamento establecido en el artículo anterior</w:t>
      </w:r>
      <w:r w:rsidRPr="002E074E">
        <w:rPr>
          <w:rFonts w:ascii="Arial" w:eastAsia="Arial Unicode MS" w:hAnsi="Arial" w:cs="Arial"/>
          <w:sz w:val="24"/>
          <w:szCs w:val="24"/>
          <w:bdr w:val="nil"/>
          <w:lang w:eastAsia="es-MX"/>
        </w:rPr>
        <w:t xml:space="preserve">. </w:t>
      </w:r>
    </w:p>
    <w:p w14:paraId="6FA78D66"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09E8857C" w14:textId="77777777" w:rsidR="00E85802"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r w:rsidRPr="002E074E">
        <w:rPr>
          <w:rFonts w:ascii="Arial" w:eastAsia="Arial Unicode MS" w:hAnsi="Arial" w:cs="Arial"/>
          <w:sz w:val="24"/>
          <w:szCs w:val="24"/>
          <w:bdr w:val="nil"/>
          <w:lang w:eastAsia="es-MX"/>
        </w:rPr>
        <w:t>El Secretariado Técnico Local velará en todo momento por el cumplimiento de los objetivos de gobierno abierto en el estado de Morelos.</w:t>
      </w:r>
    </w:p>
    <w:p w14:paraId="38558A3D" w14:textId="77777777" w:rsidR="00E85802" w:rsidRPr="002E074E" w:rsidRDefault="00E85802" w:rsidP="00E85802">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Arial Unicode MS" w:hAnsi="Arial" w:cs="Arial"/>
          <w:sz w:val="24"/>
          <w:szCs w:val="24"/>
          <w:bdr w:val="nil"/>
          <w:lang w:eastAsia="es-MX"/>
        </w:rPr>
      </w:pPr>
    </w:p>
    <w:p w14:paraId="44A515BC" w14:textId="77777777" w:rsidR="00E85802" w:rsidRPr="00867A79"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7A79">
        <w:rPr>
          <w:rFonts w:ascii="Arial" w:hAnsi="Arial" w:cs="Arial"/>
          <w:b/>
          <w:bCs/>
          <w:sz w:val="24"/>
          <w:szCs w:val="24"/>
          <w:u w:color="000000"/>
          <w:bdr w:val="nil"/>
          <w:lang w:eastAsia="es-MX"/>
        </w:rPr>
        <w:t>TÍTULO QUINTO</w:t>
      </w:r>
    </w:p>
    <w:p w14:paraId="0C3FA365" w14:textId="77777777" w:rsidR="00E85802" w:rsidRPr="00867A79"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7A79">
        <w:rPr>
          <w:rFonts w:ascii="Arial" w:hAnsi="Arial" w:cs="Arial"/>
          <w:b/>
          <w:bCs/>
          <w:sz w:val="24"/>
          <w:szCs w:val="24"/>
          <w:u w:color="000000"/>
          <w:bdr w:val="nil"/>
          <w:lang w:eastAsia="es-MX"/>
        </w:rPr>
        <w:t>DE LAS OBLIGACIONES DE TRANSPARENCIA</w:t>
      </w:r>
    </w:p>
    <w:p w14:paraId="006C01DB" w14:textId="77777777" w:rsidR="00E85802" w:rsidRPr="00867A79"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4A8FEFD2" w14:textId="77777777" w:rsidR="00E85802" w:rsidRPr="00867A79"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7A79">
        <w:rPr>
          <w:rFonts w:ascii="Arial" w:hAnsi="Arial" w:cs="Arial"/>
          <w:b/>
          <w:bCs/>
          <w:sz w:val="24"/>
          <w:szCs w:val="24"/>
          <w:u w:color="000000"/>
          <w:bdr w:val="nil"/>
          <w:lang w:eastAsia="es-MX"/>
        </w:rPr>
        <w:t>CAPÍTULO I</w:t>
      </w:r>
    </w:p>
    <w:p w14:paraId="0EF02D26" w14:textId="77777777" w:rsidR="00E85802" w:rsidRPr="00867A79" w:rsidRDefault="00E85802" w:rsidP="00E85802">
      <w:pPr>
        <w:pBdr>
          <w:top w:val="nil"/>
          <w:left w:val="nil"/>
          <w:bottom w:val="nil"/>
          <w:right w:val="nil"/>
          <w:between w:val="nil"/>
          <w:bar w:val="nil"/>
        </w:pBdr>
        <w:spacing w:after="0" w:line="240" w:lineRule="auto"/>
        <w:jc w:val="center"/>
        <w:rPr>
          <w:rFonts w:ascii="Arial" w:hAnsi="Arial" w:cs="Arial"/>
          <w:b/>
          <w:sz w:val="24"/>
          <w:szCs w:val="24"/>
          <w:u w:color="000000"/>
          <w:bdr w:val="nil"/>
          <w:lang w:eastAsia="es-MX"/>
        </w:rPr>
      </w:pPr>
      <w:r w:rsidRPr="00867A79">
        <w:rPr>
          <w:rFonts w:ascii="Arial" w:hAnsi="Arial" w:cs="Arial"/>
          <w:b/>
          <w:bCs/>
          <w:sz w:val="24"/>
          <w:szCs w:val="24"/>
          <w:u w:color="000000"/>
          <w:bdr w:val="nil"/>
          <w:lang w:eastAsia="es-MX"/>
        </w:rPr>
        <w:t>DE LAS DISPOSICIONES GENERALES</w:t>
      </w:r>
    </w:p>
    <w:p w14:paraId="2F00D24A" w14:textId="77777777" w:rsidR="00E85802" w:rsidRPr="00867A79"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4D901F4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7A79">
        <w:rPr>
          <w:rFonts w:ascii="Arial" w:hAnsi="Arial" w:cs="Arial"/>
          <w:b/>
          <w:bCs/>
          <w:sz w:val="24"/>
          <w:szCs w:val="24"/>
          <w:u w:color="000000"/>
          <w:bdr w:val="nil"/>
          <w:lang w:eastAsia="es-MX"/>
        </w:rPr>
        <w:t>Artículo 46.</w:t>
      </w:r>
      <w:r w:rsidRPr="002E074E">
        <w:rPr>
          <w:rFonts w:ascii="Arial" w:hAnsi="Arial" w:cs="Arial"/>
          <w:sz w:val="24"/>
          <w:szCs w:val="24"/>
          <w:u w:color="000000"/>
          <w:bdr w:val="nil"/>
          <w:lang w:eastAsia="es-MX"/>
        </w:rPr>
        <w:t xml:space="preserve"> Los Sujetos Obligados deberán poner a disposición de los particulares la información prevista en este Título en los sitios de internet correspondientes, conforme al artículo 51 de la presente Ley y de acuerdo a lo señalado en el artículo 60 de la Ley General, previendo que sea de fácil acceso, uso y comprensión del público y de manera focalizada a personas que hablen alguna lengua indígena, </w:t>
      </w:r>
      <w:r w:rsidRPr="002E074E">
        <w:rPr>
          <w:rFonts w:ascii="Arial" w:hAnsi="Arial" w:cs="Arial"/>
          <w:sz w:val="24"/>
          <w:szCs w:val="24"/>
          <w:u w:color="000000"/>
          <w:bdr w:val="nil"/>
          <w:lang w:eastAsia="es-MX"/>
        </w:rPr>
        <w:lastRenderedPageBreak/>
        <w:t>además deberá responder a criterios de veracidad, confiabilidad y oportunidad, en términos de los lineamientos técnicos que se emitan al respecto.</w:t>
      </w:r>
    </w:p>
    <w:p w14:paraId="2D0D8C3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BC8D92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47.</w:t>
      </w:r>
      <w:r w:rsidRPr="002E074E">
        <w:rPr>
          <w:rFonts w:ascii="Arial" w:hAnsi="Arial" w:cs="Arial"/>
          <w:sz w:val="24"/>
          <w:szCs w:val="24"/>
          <w:u w:color="000000"/>
          <w:bdr w:val="nil"/>
          <w:lang w:eastAsia="es-MX"/>
        </w:rPr>
        <w:t xml:space="preserve"> La información correspondiente a las obligaciones de transparencia deberá actualizarse por lo menos cada mes, deberá tener soporte material y escrito.</w:t>
      </w:r>
    </w:p>
    <w:p w14:paraId="633F3F0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C60C5D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publicación de la información indicará los Sujetos Obligados encargados de generarla, así como la fecha de su última actualización.</w:t>
      </w:r>
    </w:p>
    <w:p w14:paraId="7792464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19E2F9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página de inicio de los portales de internet de los Sujetos Obligados tendrá un vínculo de acceso directo al sitio donde se encuentra la información pública a la que se refiere este Título, el cual deberá contar con un buscador.</w:t>
      </w:r>
    </w:p>
    <w:p w14:paraId="6C937C3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110CF5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de obligaciones de transparencia deberá publicarse con perspectiva de género y discapacidad, cuando así corresponda a su naturaleza.</w:t>
      </w:r>
    </w:p>
    <w:p w14:paraId="2CF072B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1F6D8C0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48.</w:t>
      </w:r>
      <w:r w:rsidRPr="002E074E">
        <w:rPr>
          <w:rFonts w:ascii="Arial" w:hAnsi="Arial" w:cs="Arial"/>
          <w:sz w:val="24"/>
          <w:szCs w:val="24"/>
          <w:u w:color="000000"/>
          <w:bdr w:val="nil"/>
          <w:lang w:eastAsia="es-MX"/>
        </w:rPr>
        <w:t xml:space="preserve"> El Instituto y los Sujetos Obligados establecerán las medidas que faciliten el acceso y búsqueda de la información para personas con discapacidad y se procurará que la información publicada sea accesible de manera focalizada a personas que hablen alguna lengua indígena.</w:t>
      </w:r>
    </w:p>
    <w:p w14:paraId="48A2CA0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82E542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Por lo que, por sí mismos o a través del Sistema Nacional, deberán promover y desarrollar de forma progresiva, políticas y programas tendientes a garantizar la accesibilidad de la información en la máxima medida posible.</w:t>
      </w:r>
    </w:p>
    <w:p w14:paraId="14601B1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5FB110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promoverá la homogeneidad y la estandarización de la información, a través de la emisión de lineamientos y formatos por parte del Sistema Nacional.</w:t>
      </w:r>
    </w:p>
    <w:p w14:paraId="4BC9EA3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C2A958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49.</w:t>
      </w:r>
      <w:r w:rsidRPr="002E074E">
        <w:rPr>
          <w:rFonts w:ascii="Arial" w:hAnsi="Arial" w:cs="Arial"/>
          <w:sz w:val="24"/>
          <w:szCs w:val="24"/>
          <w:u w:color="000000"/>
          <w:bdr w:val="nil"/>
          <w:lang w:eastAsia="es-MX"/>
        </w:rPr>
        <w:t xml:space="preserve"> Los Sujetos Obligados serán responsables de los datos personales y, en relación con éstos, deberán:</w:t>
      </w:r>
    </w:p>
    <w:p w14:paraId="28B6035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9AB61D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Adoptar los procedimientos adecuados para recibir y responder las solicitudes de acceso, rectificación, corrección y oposición al tratamiento de datos, en los casos que sea procedente, así como capacitar a los Servidores Públicos y dar a conocer información sobre sus políticas en relación con la protección de tales datos, de conformidad con la normativa aplicable;</w:t>
      </w:r>
    </w:p>
    <w:p w14:paraId="6ED5869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 Tratar datos personales sólo cuando éstos sean adecuados, pertinentes y no excesivos en relación con los propósitos para los cuales se hayan obtenido o dicho tratamiento se haga en ejercicio de las atribuciones conferidas por ley;</w:t>
      </w:r>
    </w:p>
    <w:p w14:paraId="109A2B8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Poner a disposición de los individuos, a partir del momento en el cual se recaben datos personales, el documento en el que se establezcan los propósitos para su tratamiento, en términos de la normatividad aplicable, excepto en casos en que el tratamiento de los datos se haga en ejercicio de las atribuciones conferidas por ley;</w:t>
      </w:r>
    </w:p>
    <w:p w14:paraId="058387B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Procurar que los datos personales sean exactos y actualizados;</w:t>
      </w:r>
    </w:p>
    <w:p w14:paraId="21FA7CD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Sustituir, rectificar o completar, de oficio, los datos personales que fueren inexactos, ya sea total o parcialmente, o incompletos, en el momento en que tengan conocimiento de esta situación, y</w:t>
      </w:r>
    </w:p>
    <w:p w14:paraId="21949D5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Adoptar las medidas necesarias que garanticen la seguridad de los datos personales y eviten su alteración, pérdida, transmisión y acceso no autorizado.</w:t>
      </w:r>
    </w:p>
    <w:p w14:paraId="5D6442B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A60E80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2E074E">
        <w:rPr>
          <w:rFonts w:ascii="Arial" w:hAnsi="Arial" w:cs="Arial"/>
          <w:sz w:val="24"/>
          <w:szCs w:val="24"/>
          <w:u w:color="000000"/>
          <w:bdr w:val="nil"/>
          <w:lang w:eastAsia="es-MX"/>
        </w:rPr>
        <w:t>Los Sujetos Obligados no podrán difundir, distribuir o comercializar los datos personales contenidos en los sistemas de información, desarrollados en el ejercicio de sus funciones, salvo que haya mediado el consentimiento expreso, por escrito o por un medio de autenticación similar, de los individuos a que haga referencia la información de acuerdo a la normativa aplicable. Lo anterior sin perjuicio a lo establecido por el artículo 168 de esta Ley.</w:t>
      </w:r>
    </w:p>
    <w:p w14:paraId="22B17A08"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DA34E9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Artículo 50.</w:t>
      </w:r>
      <w:r w:rsidRPr="002E074E">
        <w:rPr>
          <w:rFonts w:ascii="Arial" w:hAnsi="Arial" w:cs="Arial"/>
          <w:sz w:val="24"/>
          <w:szCs w:val="24"/>
          <w:u w:color="000000"/>
          <w:bdr w:val="nil"/>
          <w:lang w:eastAsia="es-MX"/>
        </w:rPr>
        <w:t xml:space="preserve"> Los particulares, sin perjuicio de que sean considerados Sujetos Obligados en términos de la presente Ley, serán responsables de los datos personales de conformidad con la normativa aplicable para la protección de datos personales en posesión de los particulares.</w:t>
      </w:r>
    </w:p>
    <w:p w14:paraId="4D09B2F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8249B76" w14:textId="77777777" w:rsidR="00E85802" w:rsidRPr="009E51B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E51B7">
        <w:rPr>
          <w:rFonts w:ascii="Arial" w:hAnsi="Arial" w:cs="Arial"/>
          <w:b/>
          <w:bCs/>
          <w:sz w:val="24"/>
          <w:szCs w:val="24"/>
          <w:u w:color="000000"/>
          <w:bdr w:val="nil"/>
          <w:lang w:eastAsia="es-MX"/>
        </w:rPr>
        <w:t>CAPÍTULO II</w:t>
      </w:r>
    </w:p>
    <w:p w14:paraId="7F6CA188" w14:textId="77777777" w:rsidR="00E85802" w:rsidRPr="009E51B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E51B7">
        <w:rPr>
          <w:rFonts w:ascii="Arial" w:hAnsi="Arial" w:cs="Arial"/>
          <w:b/>
          <w:bCs/>
          <w:sz w:val="24"/>
          <w:szCs w:val="24"/>
          <w:u w:color="000000"/>
          <w:bdr w:val="nil"/>
          <w:lang w:eastAsia="es-MX"/>
        </w:rPr>
        <w:t>DE LAS OBLIGACIONES DE TRANSPARENCIA COMUNES</w:t>
      </w:r>
    </w:p>
    <w:p w14:paraId="057DC9EF" w14:textId="77777777" w:rsidR="00E85802" w:rsidRPr="009E51B7"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45B87C1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E51B7">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9E51B7">
        <w:rPr>
          <w:rFonts w:ascii="Arial" w:hAnsi="Arial" w:cs="Arial"/>
          <w:b/>
          <w:bCs/>
          <w:sz w:val="24"/>
          <w:szCs w:val="24"/>
          <w:u w:color="000000"/>
          <w:bdr w:val="nil"/>
          <w:lang w:eastAsia="es-MX"/>
        </w:rPr>
        <w:t>51.</w:t>
      </w:r>
      <w:r w:rsidRPr="002E074E">
        <w:rPr>
          <w:rFonts w:ascii="Arial" w:hAnsi="Arial" w:cs="Arial"/>
          <w:sz w:val="24"/>
          <w:szCs w:val="24"/>
          <w:u w:color="000000"/>
          <w:bdr w:val="nil"/>
          <w:lang w:eastAsia="es-MX"/>
        </w:rPr>
        <w:t xml:space="preserve"> Los Sujetos Obligados pondrán a disposición del público en la Plataforma Electrónica las obligaciones de transparencia, debiendo difundir y actualizar en los respectivos medios electrónicos, además de la que de manera específica se señala en este Capítulo, sin que medie ninguna solicitud al respecto, la siguiente información: </w:t>
      </w:r>
    </w:p>
    <w:p w14:paraId="517E376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220669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 El marco normativo aplicable a los Sujetos Obligados, en el que deberán incluirse Leyes, Códigos, Reglamentos, Decretos de creación, Acuerdos, Circulares, Periódico Oficial, Manuales Administrativos, Reglas de Operación, Criterios, Políticas y demás disposiciones administrativas que le dan sustento legal al ejercicio de sus funciones públicas;</w:t>
      </w:r>
    </w:p>
    <w:p w14:paraId="600BEE6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Su estructura orgánica completa, en un formato que permita vincular cada parte de la estructura, las atribuciones y responsabilidades que le corresponden a cada servidor público, prestador de servicios profesionales o miembro de los Sujetos Obligados; </w:t>
      </w:r>
    </w:p>
    <w:p w14:paraId="44C6509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Facultades de cada dependencia y Unidad Administrativa; </w:t>
      </w:r>
    </w:p>
    <w:p w14:paraId="070F9DC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Las metas y objetivos de las Áreas de conformidad con sus programas operativos; </w:t>
      </w:r>
    </w:p>
    <w:p w14:paraId="7D23E59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Los indicadores relacionados con temas de interés público o trascendencia social que conforme a sus funciones deban establecer; </w:t>
      </w:r>
    </w:p>
    <w:p w14:paraId="652B514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Los indicadores que permitan rendir cuenta de sus objetivos y resultados;</w:t>
      </w:r>
    </w:p>
    <w:p w14:paraId="49D9196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fotografía actualizada; en este caso no se podrá apelar al derecho de protección de datos personales;</w:t>
      </w:r>
    </w:p>
    <w:p w14:paraId="28B1839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 remuneración bruta y neta de todos los Servidores Públicos de base o de confianza, de todas las percepciones, incluyendo nombre propio, sueldos, prestaciones, gratificaciones, primas, comisiones, dietas, bonos, estímulos, ingresos y sistemas de compensación, señalando la periodicidad de dicha remuneración;</w:t>
      </w:r>
    </w:p>
    <w:p w14:paraId="3D12815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Los gastos de representación y viáticos, así como el objeto e informe de comisión correspondiente;</w:t>
      </w:r>
    </w:p>
    <w:p w14:paraId="09F8AAA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El número total de las plazas y del personal de base y confianza, especificando el total de las vacantes por nivel de puesto para cada Unidad Administrativa;</w:t>
      </w:r>
    </w:p>
    <w:p w14:paraId="23B72CB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Las contrataciones de servicios profesionales por honorarios, señalando los nombres de los prestadores de servicios, los servicios contratados, el monto de los honorarios y el periodo de contratación;</w:t>
      </w:r>
    </w:p>
    <w:p w14:paraId="453B723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XII. La información en Versión Pública de la declaración de intereses y de situación patrimonial, de los Servidores Públicos que, de acuerdo a la Constitución Estatal, Ley Estatal de Responsabilidades de los Servidores Públicos, y demás normativa aplicable;</w:t>
      </w:r>
    </w:p>
    <w:p w14:paraId="1498E2D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Información acerca de los sistemas, procesos, oficinas, ubicación, teléfonos, horario de atención, página electrónica, costos y responsables de atender las solicitudes de acceso a la información, así como las solicitudes recibidas y las respuestas dadas por los servidores públicos;</w:t>
      </w:r>
    </w:p>
    <w:p w14:paraId="4842796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convocatorias a concursos para ocupar cargos públicos y los resultados de los mismos;</w:t>
      </w:r>
    </w:p>
    <w:p w14:paraId="3937C8C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La información de los programas de subsidios, estímulos y apoyos, en el que se deberá informar respecto de los programas de transferencia, de servicios, de infraestructura social y de subsidio, en los que se deberá contener lo siguiente:</w:t>
      </w:r>
    </w:p>
    <w:p w14:paraId="2C1E066F"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Área;</w:t>
      </w:r>
    </w:p>
    <w:p w14:paraId="16E9942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Denominación del programa;</w:t>
      </w:r>
    </w:p>
    <w:p w14:paraId="19E4C4F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Periodo de vigencia;</w:t>
      </w:r>
    </w:p>
    <w:p w14:paraId="78648DFE"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Diseño, objetivos y alcances;</w:t>
      </w:r>
    </w:p>
    <w:p w14:paraId="44A842CF"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Metas físicas;</w:t>
      </w:r>
    </w:p>
    <w:p w14:paraId="0617CAA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Población beneficiada estimada;</w:t>
      </w:r>
    </w:p>
    <w:p w14:paraId="59C63F22"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Monto aprobado, modificado y ejercido, así como los calendarios de su programación presupuestal;</w:t>
      </w:r>
    </w:p>
    <w:p w14:paraId="2570ECB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Requisitos y procedimientos de acceso;</w:t>
      </w:r>
    </w:p>
    <w:p w14:paraId="783621DC"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Procedimiento de queja o inconformidad ciudadana;</w:t>
      </w:r>
    </w:p>
    <w:p w14:paraId="4FBDFF0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Mecanismos de exigibilidad;</w:t>
      </w:r>
    </w:p>
    <w:p w14:paraId="46ED0D4D"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k) Mecanismos de evaluación, informes de evaluación y seguimiento de recomendaciones;</w:t>
      </w:r>
    </w:p>
    <w:p w14:paraId="0F241C71"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 Indicadores con nombre, definición, método de cálculo, unidad de medida, dimensión, frecuencia de medición, nombre de las bases de datos utilizadas para su cálculo;</w:t>
      </w:r>
    </w:p>
    <w:p w14:paraId="7763C9E1"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m) Formas de participación social;</w:t>
      </w:r>
    </w:p>
    <w:p w14:paraId="4A44AABC"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 Articulación con otros programas sociales;</w:t>
      </w:r>
    </w:p>
    <w:p w14:paraId="4756BAA6"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o) Vínculo a las reglas de operación o Documento equivalente;</w:t>
      </w:r>
    </w:p>
    <w:p w14:paraId="65434FAA"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 Informes periódicos sobre la ejecución y resultados de las evaluaciones realizadas, y</w:t>
      </w:r>
    </w:p>
    <w:p w14:paraId="6254130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q) Padrón de beneficiarios mismo que deberá contener los siguientes datos: nombre de la persona física o denominación social de las personas morales </w:t>
      </w:r>
      <w:r w:rsidRPr="002E074E">
        <w:rPr>
          <w:rFonts w:ascii="Arial" w:hAnsi="Arial" w:cs="Arial"/>
          <w:sz w:val="24"/>
          <w:szCs w:val="24"/>
          <w:u w:color="000000"/>
          <w:bdr w:val="nil"/>
          <w:lang w:eastAsia="es-MX"/>
        </w:rPr>
        <w:lastRenderedPageBreak/>
        <w:t>beneficiarias, el monto, recurso, beneficio o apoyo otorgado para cada una de ellas, unidad territorial, en su caso edad y sexo;</w:t>
      </w:r>
    </w:p>
    <w:p w14:paraId="4E6B17C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Contratos, Convenios y Condiciones Generales de Trabajo Que regulen las relaciones laborales del personal sindicalizado y de confianza que se encuentre adscrito a las entidades públicas estatales y municipales; así como la relación del personal sindicalizado, los montos que, por concepto de cuotas sindicales, prestaciones económicas o en especie se hayan entregado a los sindicatos, los nombres de quienes los reciben y de quienes son responsables de ejercerlos;</w:t>
      </w:r>
    </w:p>
    <w:p w14:paraId="7D7C59D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La información curricular desde el nivel de jefe de departamento o equivalente hasta el titular del sujeto obligado, así como, en su caso, las sanciones administrativas de que haya sido objeto;</w:t>
      </w:r>
    </w:p>
    <w:p w14:paraId="268FE64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El listado de servidores públicos con sanciones administrativas definitivas, especificando la causa de sanción y la disposición;</w:t>
      </w:r>
    </w:p>
    <w:p w14:paraId="7980E80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Información sobre la ejecución del presupuesto aprobado para el Poder Ejecutivo, el Poder Legislativo, el Poder Judicial, los órganos constitucionales, los órganos legales y todas las entidades públicas previstas en la presente Ley, que deberá actualizarse trimestralmente;</w:t>
      </w:r>
    </w:p>
    <w:p w14:paraId="61518ED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 Información sobre la situación económica, y endeudamiento de las entidades públicas;</w:t>
      </w:r>
    </w:p>
    <w:p w14:paraId="10E26AC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Informes y cuentas públicas que por disposición legal deben entregar las entidades públicas estatales y municipales al Poder Legislativo, que los difundirá a más tardar quince días hábiles después de que hubiesen concluido los procedimientos de evaluación, dictamen y aprobación por el Pleno del Congreso;</w:t>
      </w:r>
    </w:p>
    <w:p w14:paraId="5926705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Informe de avances programáticos o presupuestales, balances generales y el resultado del dictamen de los estados financieros de las entidades públicas estatales y municipales;</w:t>
      </w:r>
    </w:p>
    <w:p w14:paraId="32B0879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XXIII. Los montos destinados a gastos relativos a comunicación social y publicidad oficial desglosada por tipo de medio, proveedores, número de contrato y concepto o campaña;</w:t>
      </w:r>
    </w:p>
    <w:p w14:paraId="394F228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XXIV. Información contenida en los documentos y expedientes relativos a todo tipo de auditorías concluidas y realizadas para evaluar el ejercicio presupuestal y la gestión de cada dependencia o unidad administrativa del estado y los municipios, que realicen la Secretaría de la Contraloría del Estado, las contralorías internas, la Entidad o las equivalentes de cualquiera de todas las anteriores, así como las aclaraciones que correspondan; </w:t>
      </w:r>
    </w:p>
    <w:p w14:paraId="2BEC20A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XXV. Las convocatorias, montos, criterios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14:paraId="1CADACC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 Las concesiones, contratos, convenios, permisos, licencias o autorizaciones otorgados, especificando los titulares de aquéllos, debiendo publicarse su objeto, nombre o razón social del titular, vigencia, tipo, términos, condiciones, monto y modificaciones, así como si el procedimiento involucra el aprovechamiento de bienes, servicios y/o recursos públicos;</w:t>
      </w:r>
    </w:p>
    <w:p w14:paraId="4DCAA07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XXVII.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14:paraId="717AE25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De licitaciones públicas o procedimientos de invitación restringida:</w:t>
      </w:r>
    </w:p>
    <w:p w14:paraId="124975FA"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 La convocatoria o invitación emitida, así como fundamentos legales aplicados para llevarla a cabo;</w:t>
      </w:r>
    </w:p>
    <w:p w14:paraId="273FB9FC"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2. Los nombres de los participantes o invitados;</w:t>
      </w:r>
    </w:p>
    <w:p w14:paraId="52CEBAEF"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3. El nombre del ganador y las razones que lo justifican;</w:t>
      </w:r>
    </w:p>
    <w:p w14:paraId="5FE63A1D"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4. El Área solicitante y la responsable de su ejecución;</w:t>
      </w:r>
    </w:p>
    <w:p w14:paraId="1E505BD4"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5. Las convocatorias e invitaciones emitidas;</w:t>
      </w:r>
    </w:p>
    <w:p w14:paraId="0BDFA012"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6. Los dictámenes y fallo de adjudicación;</w:t>
      </w:r>
    </w:p>
    <w:p w14:paraId="1D0C9407"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7. El contrato y, en su caso, sus anexos;</w:t>
      </w:r>
    </w:p>
    <w:p w14:paraId="0697A0F2"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8. Los mecanismos de vigilancia y supervisión, incluyendo, en su caso, los estudios de impacto urbano y ambiental, según corresponda;</w:t>
      </w:r>
    </w:p>
    <w:p w14:paraId="02061393"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9. La partida presupuestal de conformidad con el clasificador por objeto del gasto, en el caso de ser aplicable;</w:t>
      </w:r>
    </w:p>
    <w:p w14:paraId="3E298F99"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10. Origen de los recursos especificando si son federales, estatales o municipales, así como el tipo de fondo de participación o aportación respectiva;</w:t>
      </w:r>
    </w:p>
    <w:p w14:paraId="5B76A5F7"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11. Los convenios modificatorios que, en su caso, sean firmados, precisando el objeto y la fecha de celebración;</w:t>
      </w:r>
    </w:p>
    <w:p w14:paraId="71C9ED36"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12. Los informes de avance físico y financiero sobre las obras o servicios contratados;</w:t>
      </w:r>
    </w:p>
    <w:p w14:paraId="6A9E33D0"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13. El convenio de terminación, y</w:t>
      </w:r>
    </w:p>
    <w:p w14:paraId="5236B4DD" w14:textId="77777777" w:rsidR="00E85802" w:rsidRPr="002E074E" w:rsidRDefault="00E85802" w:rsidP="006E7C58">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14. El finiquito;</w:t>
      </w:r>
    </w:p>
    <w:p w14:paraId="17C55742"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b) De las adjudicaciones directas:</w:t>
      </w:r>
    </w:p>
    <w:p w14:paraId="08B131B5"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 La propuesta enviada por el participante;</w:t>
      </w:r>
    </w:p>
    <w:p w14:paraId="10CC9F1C"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2. Los motivos y fundamentos legales aplicados para llevarla a cabo;</w:t>
      </w:r>
    </w:p>
    <w:p w14:paraId="1500AB0C"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3. La autorización del ejercicio de la opción;</w:t>
      </w:r>
    </w:p>
    <w:p w14:paraId="55AEB5D6"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4. En su caso, las cotizaciones consideradas, especificando los nombres de los proveedores y los montos;</w:t>
      </w:r>
    </w:p>
    <w:p w14:paraId="2A82C1B6"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5. El nombre de la persona física o moral adjudicada;</w:t>
      </w:r>
    </w:p>
    <w:p w14:paraId="754E3D54"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6. La Unidad Administrativa solicitante y la responsable de su ejecución;</w:t>
      </w:r>
    </w:p>
    <w:p w14:paraId="5593B407"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7. El número, fecha, el monto del contrato y el plazo de entrega o de ejecución de los servicios u obra;</w:t>
      </w:r>
    </w:p>
    <w:p w14:paraId="1E6E5BC5"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8. Los mecanismos de vigilancia y supervisión, incluyendo, en su caso, los estudios de impacto urbano y ambiental, según corresponda;</w:t>
      </w:r>
    </w:p>
    <w:p w14:paraId="0AC34546"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9. Los informes de avance sobre las obras o servicios contratados;</w:t>
      </w:r>
    </w:p>
    <w:p w14:paraId="00454475"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10. El convenio de terminación, y</w:t>
      </w:r>
    </w:p>
    <w:p w14:paraId="7C5FEE8D" w14:textId="77777777" w:rsidR="00E85802" w:rsidRPr="002E074E" w:rsidRDefault="00E85802" w:rsidP="005D6890">
      <w:pPr>
        <w:pBdr>
          <w:top w:val="nil"/>
          <w:left w:val="nil"/>
          <w:bottom w:val="nil"/>
          <w:right w:val="nil"/>
          <w:between w:val="nil"/>
          <w:bar w:val="nil"/>
        </w:pBdr>
        <w:spacing w:after="0" w:line="240" w:lineRule="auto"/>
        <w:ind w:left="851"/>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11. El finiquito;</w:t>
      </w:r>
    </w:p>
    <w:p w14:paraId="074FA45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XXVIII. Informes anuales de actividades. El programa de trabajo de los titulares de las Entidades Públicas, Dependencias y Unidades Administrativas. Esta información deberá hacerse pública a más tardar quince días hábiles después de haberse producido;</w:t>
      </w:r>
    </w:p>
    <w:p w14:paraId="155F7A7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XXIX. Las estadísticas que generen en cumplimiento de sus facultades, competencias o funciones con la mayor desagregación posible;</w:t>
      </w:r>
    </w:p>
    <w:p w14:paraId="0AEAD6B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 Padrón de proveedores y contratistas;</w:t>
      </w:r>
    </w:p>
    <w:p w14:paraId="6E3B1080" w14:textId="77777777" w:rsidR="00E85802" w:rsidRPr="00CB6877" w:rsidRDefault="00E85802" w:rsidP="00E85802">
      <w:pPr>
        <w:spacing w:after="0" w:line="240" w:lineRule="auto"/>
        <w:ind w:left="284"/>
        <w:jc w:val="both"/>
        <w:rPr>
          <w:rFonts w:ascii="Arial" w:eastAsia="Times New Roman" w:hAnsi="Arial" w:cs="Arial"/>
          <w:bCs/>
          <w:sz w:val="24"/>
          <w:szCs w:val="24"/>
          <w:lang w:val="es-ES" w:eastAsia="es-ES"/>
        </w:rPr>
      </w:pPr>
      <w:r w:rsidRPr="00CB6877">
        <w:rPr>
          <w:rFonts w:ascii="Arial" w:eastAsia="Times New Roman" w:hAnsi="Arial" w:cs="Arial"/>
          <w:bCs/>
          <w:sz w:val="24"/>
          <w:szCs w:val="24"/>
          <w:lang w:val="es-ES" w:eastAsia="es-ES"/>
        </w:rPr>
        <w:t>XXXI. Convenios que el gobierno realice con la Federación, con otros Estados y con los Municipios, siempre que no versaren sobre seguridad pública. Convenios que las entidades celebren con Organizaciones No Gubernamentales, Sindicatos, Partidos Políticos, Asociaciones Políticas, Instituciones de enseñanza privada, fundaciones e Instituciones públicas del estado de Morelos, de otro Estado, de la Federación o de otro país. Cuando se trate de convenios que impliquen transferencias financieras con cargo al presupuesto público, en el convenio se establecerá el fundamento jurídico, los responsables de su recepción y ejecución, el programa y los tiempos de aplicación y se exigirá un informe de ejecución de los fondos, que también deberá hacerse público;</w:t>
      </w:r>
    </w:p>
    <w:p w14:paraId="6AF4F44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XXXII. El inventario de bienes muebles e inmuebles en posesión y propiedad;</w:t>
      </w:r>
    </w:p>
    <w:p w14:paraId="524C830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XXXIII. Las recomendaciones emitidas por los órganos públicos del Estado Mexicano u organismos internacionales garantes de los derechos humanos, así como las acciones que han llevado a cabo para su atención;</w:t>
      </w:r>
    </w:p>
    <w:p w14:paraId="5C4BED7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 xml:space="preserve">XXXIV. </w:t>
      </w:r>
      <w:r w:rsidRPr="003F7349">
        <w:rPr>
          <w:rFonts w:ascii="Arial" w:hAnsi="Arial" w:cs="Arial"/>
          <w:sz w:val="24"/>
          <w:szCs w:val="24"/>
          <w:u w:color="000000"/>
          <w:bdr w:val="nil"/>
          <w:lang w:eastAsia="es-MX"/>
        </w:rPr>
        <w:t>Las resoluciones y laudos que se emitan en procesos o procedimientos seguidos en forma de juicio; una vez agotadas todas las etapas procesales</w:t>
      </w:r>
      <w:r w:rsidRPr="002E074E">
        <w:rPr>
          <w:rFonts w:ascii="Arial" w:hAnsi="Arial" w:cs="Arial"/>
          <w:sz w:val="24"/>
          <w:szCs w:val="24"/>
          <w:u w:color="000000"/>
          <w:bdr w:val="nil"/>
          <w:lang w:eastAsia="es-MX"/>
        </w:rPr>
        <w:t>;</w:t>
      </w:r>
    </w:p>
    <w:p w14:paraId="67E228C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 Políticas y mecanismos de participación ciudadana en los procesos de elaboración, implementación y evaluación de políticas públicas, así como en la toma de decisiones de las entidades públicas;</w:t>
      </w:r>
    </w:p>
    <w:p w14:paraId="6A44254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XXXVI. Los programas y servicios que ofrecen, incluyendo información sobre la población, objetivo y destino, así como los trámites, tiempos de respuesta, requisitos y formatos para acceder a los mismos;</w:t>
      </w:r>
    </w:p>
    <w:p w14:paraId="5355EDD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XXXVII. Todas las evaluaciones, y encuestas que hagan los Sujetos Obligados a programas financiados con recursos públicos;</w:t>
      </w:r>
    </w:p>
    <w:p w14:paraId="2292A9B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XXXVIII. Los estudios financiados con recursos públicos;</w:t>
      </w:r>
    </w:p>
    <w:p w14:paraId="6F85FCC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XXXIX. El listado de jubilados y pensionados, nombre propio y el monto que reciben;</w:t>
      </w:r>
    </w:p>
    <w:p w14:paraId="023ECDE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 Los ingresos recibidos por cualquier concepto señalando el nombre de los responsables de recibirlos, administrarlos y ejercerlos, así como su destino, indicando el destino de cada uno de ellos;</w:t>
      </w:r>
    </w:p>
    <w:p w14:paraId="3E6D397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 Donaciones hechas a terceros en dinero o en especie;</w:t>
      </w:r>
    </w:p>
    <w:p w14:paraId="7F43107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XLII. El catálogo de disposición y guía de archivo documental;</w:t>
      </w:r>
    </w:p>
    <w:p w14:paraId="4ADC25A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XLIII. Información contenida en las minutas, acuerdos y actas de las reuniones oficiales, versiones estenográficas, en su caso, de cualquier órgano colegiado de las entidades públicas, así como las opiniones y recomendaciones que emitan, en su caso, los Consejos Consultivos;</w:t>
      </w:r>
    </w:p>
    <w:p w14:paraId="7A9CA7D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XLIV. Cualquier otra información que sea de utilidad o se considere relevante, además de la que, con base en la información estadística, responda a las preguntas hechas con más frecuencia por el público, y</w:t>
      </w:r>
    </w:p>
    <w:p w14:paraId="66E0DEB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XLV. La profesión y cédula profesional de los servidores públicos que, por disposición legal, normativa, técnica o administrativa, deban de acreditar que cuentan con la misma para el desempeño de su función o encargo.</w:t>
      </w:r>
    </w:p>
    <w:p w14:paraId="5BCC0DA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E33D7D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deberán informar al Instituto y verificar que se publiquen en la Plataforma Electrónica correspondiente, cuáles son los rubros que son aplicables a sus páginas de Internet, con el objeto de que el Instituto verifique y apruebe de forma fundada y motivada la relación de fracciones aplicables a cada sujeto obligado.</w:t>
      </w:r>
    </w:p>
    <w:p w14:paraId="65EB5034"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0F70CE95" w14:textId="77777777" w:rsidR="00E85802" w:rsidRPr="00846AFB"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lastRenderedPageBreak/>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Reformada</w:t>
      </w:r>
      <w:r w:rsidRPr="003F7349">
        <w:rPr>
          <w:rFonts w:ascii="Arial" w:hAnsi="Arial" w:cs="Arial"/>
          <w:sz w:val="20"/>
          <w:szCs w:val="20"/>
          <w:u w:color="000000"/>
          <w:bdr w:val="nil"/>
          <w:lang w:eastAsia="es-MX"/>
        </w:rPr>
        <w:t xml:space="preserve"> la fracción XXXIV</w:t>
      </w:r>
      <w:r>
        <w:rPr>
          <w:rFonts w:ascii="Arial" w:hAnsi="Arial" w:cs="Arial"/>
          <w:sz w:val="20"/>
          <w:szCs w:val="20"/>
          <w:u w:color="000000"/>
          <w:bdr w:val="nil"/>
          <w:lang w:eastAsia="es-MX"/>
        </w:rPr>
        <w:t>,</w:t>
      </w:r>
      <w:r w:rsidRPr="003F7349">
        <w:rPr>
          <w:rFonts w:ascii="Arial" w:hAnsi="Arial" w:cs="Arial"/>
          <w:sz w:val="20"/>
          <w:szCs w:val="20"/>
          <w:u w:color="000000"/>
          <w:bdr w:val="nil"/>
          <w:lang w:eastAsia="es-MX"/>
        </w:rPr>
        <w:t xml:space="preserve"> por artículo único del Decreto No. 37, publicado en el Periódico Oficial “Tierra y Libertad” No. 6025, de fecha 2021/12/22. Vigencia: 2021/12/23.</w:t>
      </w:r>
      <w:r>
        <w:rPr>
          <w:rFonts w:ascii="Arial" w:hAnsi="Arial" w:cs="Arial"/>
          <w:b/>
          <w:sz w:val="20"/>
          <w:szCs w:val="20"/>
          <w:u w:color="000000"/>
          <w:bdr w:val="nil"/>
          <w:lang w:eastAsia="es-MX"/>
        </w:rPr>
        <w:t xml:space="preserve"> Antes decía: </w:t>
      </w:r>
      <w:r w:rsidRPr="003F7349">
        <w:rPr>
          <w:rFonts w:ascii="Arial" w:hAnsi="Arial" w:cs="Arial"/>
          <w:sz w:val="20"/>
          <w:szCs w:val="20"/>
          <w:u w:color="000000"/>
          <w:bdr w:val="nil"/>
          <w:lang w:eastAsia="es-MX"/>
        </w:rPr>
        <w:t>XXXIV. Sentencias y laudos que hayan causado estado o ejecutoria;</w:t>
      </w:r>
    </w:p>
    <w:p w14:paraId="75B1EEFC" w14:textId="77777777" w:rsidR="00E85802" w:rsidRPr="00846AFB"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846AFB">
        <w:rPr>
          <w:rFonts w:ascii="Arial" w:hAnsi="Arial" w:cs="Arial"/>
          <w:b/>
          <w:sz w:val="20"/>
          <w:szCs w:val="20"/>
          <w:u w:color="000000"/>
          <w:bdr w:val="nil"/>
          <w:lang w:eastAsia="es-MX"/>
        </w:rPr>
        <w:t xml:space="preserve">FE DE </w:t>
      </w:r>
      <w:proofErr w:type="gramStart"/>
      <w:r w:rsidRPr="00846AFB">
        <w:rPr>
          <w:rFonts w:ascii="Arial" w:hAnsi="Arial" w:cs="Arial"/>
          <w:b/>
          <w:sz w:val="20"/>
          <w:szCs w:val="20"/>
          <w:u w:color="000000"/>
          <w:bdr w:val="nil"/>
          <w:lang w:eastAsia="es-MX"/>
        </w:rPr>
        <w:t>ERRATAS.-</w:t>
      </w:r>
      <w:proofErr w:type="gramEnd"/>
      <w:r w:rsidRPr="00846AFB">
        <w:rPr>
          <w:rFonts w:ascii="Arial" w:hAnsi="Arial" w:cs="Arial"/>
          <w:sz w:val="20"/>
          <w:szCs w:val="20"/>
          <w:u w:color="000000"/>
          <w:bdr w:val="nil"/>
          <w:lang w:eastAsia="es-MX"/>
        </w:rPr>
        <w:t xml:space="preserve"> Publicada en el Periódico Oficial “Tierra y Libertad”</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No. 5399</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de fecha 2016/05/25</w:t>
      </w:r>
    </w:p>
    <w:p w14:paraId="462A36F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C8BF15B" w14:textId="77777777" w:rsidR="00E85802" w:rsidRPr="008611E0"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11E0">
        <w:rPr>
          <w:rFonts w:ascii="Arial" w:hAnsi="Arial" w:cs="Arial"/>
          <w:b/>
          <w:bCs/>
          <w:sz w:val="24"/>
          <w:szCs w:val="24"/>
          <w:u w:color="000000"/>
          <w:bdr w:val="nil"/>
          <w:lang w:eastAsia="es-MX"/>
        </w:rPr>
        <w:t>CAPÍTULO III</w:t>
      </w:r>
    </w:p>
    <w:p w14:paraId="7FB71668" w14:textId="77777777" w:rsidR="00E85802" w:rsidRPr="008611E0"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611E0">
        <w:rPr>
          <w:rFonts w:ascii="Arial" w:hAnsi="Arial" w:cs="Arial"/>
          <w:b/>
          <w:bCs/>
          <w:sz w:val="24"/>
          <w:szCs w:val="24"/>
          <w:u w:color="000000"/>
          <w:bdr w:val="nil"/>
          <w:lang w:eastAsia="es-MX"/>
        </w:rPr>
        <w:t>DE LA INFORMACIÓN PÚBLICA ESPECÍFICA QUE DEBE DIFUNDIRSE</w:t>
      </w:r>
    </w:p>
    <w:p w14:paraId="2DE398A1" w14:textId="77777777" w:rsidR="00E85802" w:rsidRPr="008611E0"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0F63344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52.</w:t>
      </w:r>
      <w:r w:rsidRPr="002E074E">
        <w:rPr>
          <w:rFonts w:ascii="Arial" w:hAnsi="Arial" w:cs="Arial"/>
          <w:sz w:val="24"/>
          <w:szCs w:val="24"/>
          <w:u w:color="000000"/>
          <w:bdr w:val="nil"/>
          <w:lang w:eastAsia="es-MX"/>
        </w:rPr>
        <w:t xml:space="preserve">  Además de lo señalado en el artículo anterior de la presente Ley, los Sujetos Obligados del Poder Ejecutivo, así como los Ayuntamientos, deberán poner a disposición del público y actualizar la siguiente información:</w:t>
      </w:r>
    </w:p>
    <w:p w14:paraId="6BD94ED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AB1D5F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En el caso del Poder Ejecutivo y los municipios:</w:t>
      </w:r>
    </w:p>
    <w:p w14:paraId="636AFC96"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a). El Plan Estatal o Municipal de Desarrollo, según corresponda; </w:t>
      </w:r>
    </w:p>
    <w:p w14:paraId="1A68F0BE"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El presupuesto de egresos y las fórmulas de distribución de los recursos otorgados, así como los criterios de asignación, el tiempo de ejecución, los mecanismos de evaluación y los responsables de su recepción y ejecución final;</w:t>
      </w:r>
    </w:p>
    <w:p w14:paraId="46E8723A"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 El listado de expropiaciones decretadas y ejecutadas, que incluya cuando menos la fecha de expropiación, el domicilio y la causa de utilidad pública y las ocupaciones superficiales; </w:t>
      </w:r>
    </w:p>
    <w:p w14:paraId="5E7306AA"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El nombre, denominación o razón social y clave del registro federal de los contribuyentes a los que se les hubiera cancelado o condonado algún crédito fiscal, así como los montos respectivos. Asimismo, la información estadística sobre las exenciones previstas en las disposiciones fiscales;</w:t>
      </w:r>
    </w:p>
    <w:p w14:paraId="7DD3A1AA"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Por ser una función de orden público, se deben publicar los nombres de las personas a quienes se les habilitó para ejercer como corredores y notarios públicos, así como sus datos de contacto, la información relacionada con el proceso de otorgamiento de la patente, y las sanciones que se les hubieran aplicado, los servicios que ofrecen y su costo;</w:t>
      </w:r>
    </w:p>
    <w:p w14:paraId="3AEDE4E7"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La información detallada que contengan los Planes de Desarrollo Urbano, Ordenamiento Territorial y Ecológico, los tipos y usos de suelo, licencias de uso y construcción otorgadas por los gobiernos municipales, y</w:t>
      </w:r>
    </w:p>
    <w:p w14:paraId="53734C5B"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g). Las disposiciones administrativas, directamente o a través de la autoridad competente, con el plazo de anticipación que prevean las disposiciones aplicables al sujeto obligado de que se trate, salvo que su difusión pueda </w:t>
      </w:r>
      <w:r w:rsidRPr="002E074E">
        <w:rPr>
          <w:rFonts w:ascii="Arial" w:hAnsi="Arial" w:cs="Arial"/>
          <w:sz w:val="24"/>
          <w:szCs w:val="24"/>
          <w:u w:color="000000"/>
          <w:bdr w:val="nil"/>
          <w:lang w:eastAsia="es-MX"/>
        </w:rPr>
        <w:lastRenderedPageBreak/>
        <w:t>comprometer los efectos que se pretenden lograr con la disposición o se trate de situaciones de emergencia, de conformidad con dichas disposiciones.</w:t>
      </w:r>
    </w:p>
    <w:p w14:paraId="0945221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Adicionalmente al Poder Ejecutivo:</w:t>
      </w:r>
    </w:p>
    <w:p w14:paraId="3C3A9152"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Los nombres de las personas a quienes se les habilitó para ejercer como corredores y notarios públicos, número de patente notarial, datos de contacto, los informes mensuales rendidos, servicios que ofrecen, costo, convenios de suplencia y asociación que hayan celebrado, índices de protocolo, la información relacionada con el proceso de otorgamiento de la patente, inspecciones y las sanciones que se les hubieran aplicado;</w:t>
      </w:r>
    </w:p>
    <w:p w14:paraId="2DE5C80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Adicionalmente, en el caso de los municipios:</w:t>
      </w:r>
    </w:p>
    <w:p w14:paraId="6336F10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El contenido de las gacetas municipales, las cuales deberán comprender los resolutivos y acuerdos aprobados por los ayuntamientos;</w:t>
      </w:r>
    </w:p>
    <w:p w14:paraId="4DC9A6DB"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Las actas de sesiones de cabildo, los controles de asistencia de los integrantes del Ayuntamiento a las sesiones de cabildo y el sentido de votación de los miembros del cabildo sobre las iniciativas o acuerdos;</w:t>
      </w:r>
    </w:p>
    <w:p w14:paraId="4C130F6D"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 Nombramientos, reportes, informes mensuales y anuales de las Autoridades Auxiliares municipales, actas y acuerdos de sus reuniones, la información relativa a la administración de los recursos públicos que tengan encomendados o les sean entregados, y </w:t>
      </w:r>
    </w:p>
    <w:p w14:paraId="1243A9B5"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Se incluirán los datos referentes al agua potable, drenaje, alcantarillado, tratamiento y disposición de aguas residuales; alumbrado público; la formulación, aprobación y administración de la zonificación y planes de desarrollo municipal; la creación y administración de sus reservas territoriales y ecológicas; utilización del suelo; y las cuotas y tarifas aplicables a impuestos, derechos, contribuciones de mejoras y las tablas de valores unitarios de suelo y construcciones que sirvan de base para el cobro de las contribuciones sobre la propiedad inmobiliaria.</w:t>
      </w:r>
    </w:p>
    <w:p w14:paraId="48D247D1"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619E63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900B6">
        <w:rPr>
          <w:rFonts w:ascii="Arial" w:hAnsi="Arial" w:cs="Arial"/>
          <w:b/>
          <w:bCs/>
          <w:sz w:val="24"/>
          <w:szCs w:val="24"/>
          <w:u w:color="000000"/>
          <w:bdr w:val="nil"/>
          <w:lang w:eastAsia="es-MX"/>
        </w:rPr>
        <w:t>Artículo 53.</w:t>
      </w:r>
      <w:r w:rsidRPr="003900B6">
        <w:rPr>
          <w:rFonts w:ascii="Arial" w:hAnsi="Arial" w:cs="Arial"/>
          <w:sz w:val="24"/>
          <w:szCs w:val="24"/>
          <w:u w:color="000000"/>
          <w:bdr w:val="nil"/>
          <w:lang w:eastAsia="es-MX"/>
        </w:rPr>
        <w:t xml:space="preserve"> Además de lo señalado en el artículo 51 de la presente Ley, el Poder Legislativo deberá poner a disposición del público y actualizar la siguiente información:</w:t>
      </w:r>
    </w:p>
    <w:p w14:paraId="6AA14B7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D896E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Agenda legislativa;</w:t>
      </w:r>
    </w:p>
    <w:p w14:paraId="3822F09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Gaceta Parlamentaria;</w:t>
      </w:r>
    </w:p>
    <w:p w14:paraId="2F75B42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Órdenes del día;</w:t>
      </w:r>
    </w:p>
    <w:p w14:paraId="518D962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Diario de Debates;</w:t>
      </w:r>
    </w:p>
    <w:p w14:paraId="3FC57F4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V. Las versiones estenográficas;</w:t>
      </w:r>
    </w:p>
    <w:p w14:paraId="16AF9F7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1452B4">
        <w:rPr>
          <w:rFonts w:ascii="Arial" w:hAnsi="Arial" w:cs="Arial"/>
          <w:sz w:val="24"/>
          <w:szCs w:val="24"/>
          <w:u w:color="000000"/>
          <w:bdr w:val="nil"/>
          <w:lang w:eastAsia="es-MX"/>
        </w:rPr>
        <w:t>VI. Derogada</w:t>
      </w:r>
    </w:p>
    <w:p w14:paraId="6A85F45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Las iniciativas de leyes o decretos, puntos de acuerdo, la fecha en que se recibieron, las Comisiones a las que se turnaron, y los dictámenes que, en su caso, recaigan sobre las mismas;</w:t>
      </w:r>
    </w:p>
    <w:p w14:paraId="2FFCAD5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Las leyes, decretos y acuerdos aprobados por el órgano legislativo;</w:t>
      </w:r>
    </w:p>
    <w:p w14:paraId="0B91B6E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Las convocatorias, actas, acuerdos, listas de asistencia y votación de las Comisiones y Comités, y de las sesiones del Pleno, identificando el sentido del voto en votación económica, y por cada legislador en la votación nominal y el resultado de la votación por cédula, así como votos particulares y reservas de los dictámenes y acuerdos sometidos a consideración;</w:t>
      </w:r>
    </w:p>
    <w:p w14:paraId="7021568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Las resoluciones definitivas sobre juicios políticos y declaratorias de procedencia;</w:t>
      </w:r>
    </w:p>
    <w:p w14:paraId="4A02AC1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Las versiones públicas de la información entregada en las audiencias públicas, comparecencias y en los procedimientos de designación, ratificación, elección, reelección o cualquier otro;</w:t>
      </w:r>
    </w:p>
    <w:p w14:paraId="6390461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Las contrataciones de servicios personales señalando el nombre del prestador del servicio, objeto, monto y vigencia del contrato del órgano de gobierno, Comisiones, Comités, Grupos Parlamentarios y el Instituto de Investigaciones Legislativas;</w:t>
      </w:r>
    </w:p>
    <w:p w14:paraId="30DED85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XIII. El informe semestral del ejercicio presupuestal del uso y destino de los recursos financieros de la Junta, Comisiones, Comités, Grupos Parlamentarios y el Instituto de Investigaciones Legislativas; </w:t>
      </w:r>
    </w:p>
    <w:p w14:paraId="701E93F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Los resultados de los estudios o investigaciones de naturaleza económica, política y social que realice el Instituto de Investigaciones Legislativas, y</w:t>
      </w:r>
    </w:p>
    <w:p w14:paraId="601E549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El padrón de cabilderos, de acuerdo a la normativa aplicable.</w:t>
      </w:r>
    </w:p>
    <w:p w14:paraId="069F64F2" w14:textId="77777777" w:rsidR="00E85802" w:rsidRDefault="00E85802" w:rsidP="00E85802">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BF04DB7" w14:textId="77777777" w:rsidR="00E85802" w:rsidRDefault="00E85802" w:rsidP="00E85802">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Se deroga la fracción VI</w:t>
      </w:r>
      <w:r>
        <w:rPr>
          <w:rFonts w:ascii="Arial" w:hAnsi="Arial" w:cs="Arial"/>
          <w:sz w:val="20"/>
          <w:szCs w:val="20"/>
        </w:rPr>
        <w:t xml:space="preserve"> por ARTÍCULO ÚNICO del Decreto No. 557, p</w:t>
      </w:r>
      <w:r w:rsidRPr="0097695D">
        <w:rPr>
          <w:rFonts w:ascii="Arial" w:hAnsi="Arial" w:cs="Arial"/>
          <w:sz w:val="20"/>
          <w:szCs w:val="20"/>
        </w:rPr>
        <w:t>ublicado en el Periódico Oficial “Tierra y Libertad”, número</w:t>
      </w:r>
      <w:r>
        <w:rPr>
          <w:rFonts w:ascii="Arial" w:hAnsi="Arial" w:cs="Arial"/>
          <w:sz w:val="20"/>
          <w:szCs w:val="20"/>
        </w:rPr>
        <w:t xml:space="preserve"> 6479, de fecha 2025/10/15. Vigencia: 2025/10/16. </w:t>
      </w:r>
      <w:r w:rsidRPr="00A51BD6">
        <w:rPr>
          <w:rFonts w:ascii="Arial" w:hAnsi="Arial" w:cs="Arial"/>
          <w:b/>
          <w:sz w:val="20"/>
          <w:szCs w:val="20"/>
        </w:rPr>
        <w:t>Antes decía:</w:t>
      </w:r>
      <w:r>
        <w:rPr>
          <w:rFonts w:ascii="Arial" w:hAnsi="Arial" w:cs="Arial"/>
          <w:sz w:val="20"/>
          <w:szCs w:val="20"/>
        </w:rPr>
        <w:t xml:space="preserve"> </w:t>
      </w:r>
      <w:r w:rsidRPr="001452B4">
        <w:rPr>
          <w:rFonts w:ascii="Arial" w:hAnsi="Arial" w:cs="Arial"/>
          <w:sz w:val="20"/>
          <w:szCs w:val="20"/>
        </w:rPr>
        <w:t>Artículo 53. Además de lo señalado en el artículo 51 de la presente Ley, el Poder Legislativo deberá poner a disposición del público y actualizar la siguiente información:</w:t>
      </w:r>
    </w:p>
    <w:p w14:paraId="3CE228FE" w14:textId="77777777" w:rsidR="00E85802" w:rsidRDefault="00E85802" w:rsidP="00E85802">
      <w:pPr>
        <w:widowControl w:val="0"/>
        <w:spacing w:after="0" w:line="240" w:lineRule="auto"/>
        <w:jc w:val="both"/>
        <w:rPr>
          <w:rFonts w:ascii="Arial" w:hAnsi="Arial" w:cs="Arial"/>
          <w:sz w:val="20"/>
          <w:szCs w:val="20"/>
        </w:rPr>
      </w:pPr>
      <w:r>
        <w:rPr>
          <w:rFonts w:ascii="Arial" w:hAnsi="Arial" w:cs="Arial"/>
          <w:sz w:val="20"/>
          <w:szCs w:val="20"/>
        </w:rPr>
        <w:t>I. a la V. …</w:t>
      </w:r>
    </w:p>
    <w:p w14:paraId="4B4B6500" w14:textId="77777777" w:rsidR="00E85802" w:rsidRDefault="00E85802" w:rsidP="00E85802">
      <w:pPr>
        <w:widowControl w:val="0"/>
        <w:spacing w:after="0" w:line="240" w:lineRule="auto"/>
        <w:jc w:val="both"/>
        <w:rPr>
          <w:rFonts w:ascii="Arial" w:hAnsi="Arial" w:cs="Arial"/>
          <w:sz w:val="20"/>
          <w:szCs w:val="20"/>
        </w:rPr>
      </w:pPr>
      <w:r w:rsidRPr="001452B4">
        <w:rPr>
          <w:rFonts w:ascii="Arial" w:hAnsi="Arial" w:cs="Arial"/>
          <w:sz w:val="20"/>
          <w:szCs w:val="20"/>
        </w:rPr>
        <w:t>VI. La asistencia de cada una de sus sesiones del Pleno y de las Comisiones y Comités;</w:t>
      </w:r>
    </w:p>
    <w:p w14:paraId="266E8AD7" w14:textId="77777777" w:rsidR="00E85802" w:rsidRDefault="00E85802" w:rsidP="00E85802">
      <w:pPr>
        <w:widowControl w:val="0"/>
        <w:spacing w:after="0" w:line="240" w:lineRule="auto"/>
        <w:jc w:val="both"/>
        <w:rPr>
          <w:rFonts w:ascii="Arial" w:hAnsi="Arial" w:cs="Arial"/>
          <w:sz w:val="20"/>
          <w:szCs w:val="20"/>
        </w:rPr>
      </w:pPr>
      <w:r>
        <w:rPr>
          <w:rFonts w:ascii="Arial" w:hAnsi="Arial" w:cs="Arial"/>
          <w:sz w:val="20"/>
          <w:szCs w:val="20"/>
        </w:rPr>
        <w:t>VII. a la XV. …</w:t>
      </w:r>
    </w:p>
    <w:p w14:paraId="79D12BC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68894AA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8611E0">
        <w:rPr>
          <w:rFonts w:ascii="Arial" w:hAnsi="Arial" w:cs="Arial"/>
          <w:b/>
          <w:bCs/>
          <w:sz w:val="24"/>
          <w:szCs w:val="24"/>
          <w:u w:color="000000"/>
          <w:bdr w:val="nil"/>
          <w:lang w:eastAsia="es-MX"/>
        </w:rPr>
        <w:t>54.</w:t>
      </w:r>
      <w:r w:rsidRPr="002E074E">
        <w:rPr>
          <w:rFonts w:ascii="Arial" w:hAnsi="Arial" w:cs="Arial"/>
          <w:sz w:val="24"/>
          <w:szCs w:val="24"/>
          <w:u w:color="000000"/>
          <w:bdr w:val="nil"/>
          <w:lang w:eastAsia="es-MX"/>
        </w:rPr>
        <w:t xml:space="preserve"> </w:t>
      </w:r>
      <w:r w:rsidRPr="00BA73BF">
        <w:rPr>
          <w:rFonts w:ascii="Arial" w:hAnsi="Arial" w:cs="Arial"/>
          <w:sz w:val="24"/>
          <w:szCs w:val="24"/>
          <w:u w:color="000000"/>
          <w:bdr w:val="nil"/>
          <w:lang w:eastAsia="es-MX"/>
        </w:rPr>
        <w:t xml:space="preserve">Además de lo señalado en el artículo 51 de la presente ley, el Poder Judicial del Estado de Morelos, el Tribunal de Justicia Administrativa, el Tribunal </w:t>
      </w:r>
      <w:r w:rsidRPr="00BA73BF">
        <w:rPr>
          <w:rFonts w:ascii="Arial" w:hAnsi="Arial" w:cs="Arial"/>
          <w:sz w:val="24"/>
          <w:szCs w:val="24"/>
          <w:u w:color="000000"/>
          <w:bdr w:val="nil"/>
          <w:lang w:eastAsia="es-MX"/>
        </w:rPr>
        <w:lastRenderedPageBreak/>
        <w:t>Estatal de Conciliación y Arbitraje y todos aquellos órganos constitucionales autónomos o administrativos que realicen funciones materialmente jurisdiccionales, deberán poner a disposición del público y actualizar la siguiente información</w:t>
      </w:r>
      <w:r w:rsidRPr="002E074E">
        <w:rPr>
          <w:rFonts w:ascii="Arial" w:hAnsi="Arial" w:cs="Arial"/>
          <w:sz w:val="24"/>
          <w:szCs w:val="24"/>
          <w:u w:color="000000"/>
          <w:bdr w:val="nil"/>
          <w:lang w:eastAsia="es-MX"/>
        </w:rPr>
        <w:t>:</w:t>
      </w:r>
    </w:p>
    <w:p w14:paraId="7602E9D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8D3091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w:t>
      </w:r>
      <w:r w:rsidRPr="00BA73BF">
        <w:rPr>
          <w:rFonts w:ascii="Arial" w:hAnsi="Arial" w:cs="Arial"/>
          <w:sz w:val="24"/>
          <w:szCs w:val="24"/>
          <w:u w:color="000000"/>
          <w:bdr w:val="nil"/>
          <w:lang w:eastAsia="es-MX"/>
        </w:rPr>
        <w:t>Las versiones públicas de todos los laudos o sentencias emitidas</w:t>
      </w:r>
      <w:r w:rsidRPr="002E074E">
        <w:rPr>
          <w:rFonts w:ascii="Arial" w:hAnsi="Arial" w:cs="Arial"/>
          <w:sz w:val="24"/>
          <w:szCs w:val="24"/>
          <w:u w:color="000000"/>
          <w:bdr w:val="nil"/>
          <w:lang w:eastAsia="es-MX"/>
        </w:rPr>
        <w:t>;</w:t>
      </w:r>
    </w:p>
    <w:p w14:paraId="0310CBF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Las versiones estenográficas de las sesiones públicas;</w:t>
      </w:r>
    </w:p>
    <w:p w14:paraId="366C977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La relacionada con los procesos por medio del cual fueron designados los Jueces de Primera Instancia, </w:t>
      </w:r>
      <w:proofErr w:type="gramStart"/>
      <w:r w:rsidRPr="002E074E">
        <w:rPr>
          <w:rFonts w:ascii="Arial" w:hAnsi="Arial" w:cs="Arial"/>
          <w:sz w:val="24"/>
          <w:szCs w:val="24"/>
          <w:u w:color="000000"/>
          <w:bdr w:val="nil"/>
          <w:lang w:eastAsia="es-MX"/>
        </w:rPr>
        <w:t>Secretarios</w:t>
      </w:r>
      <w:proofErr w:type="gramEnd"/>
      <w:r w:rsidRPr="002E074E">
        <w:rPr>
          <w:rFonts w:ascii="Arial" w:hAnsi="Arial" w:cs="Arial"/>
          <w:sz w:val="24"/>
          <w:szCs w:val="24"/>
          <w:u w:color="000000"/>
          <w:bdr w:val="nil"/>
          <w:lang w:eastAsia="es-MX"/>
        </w:rPr>
        <w:t xml:space="preserve"> de Acuerdo, Actuarios y Oficiales Judiciales, Y</w:t>
      </w:r>
    </w:p>
    <w:p w14:paraId="7EFAC16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lista de acuerdos que diariamente se publiquen.</w:t>
      </w:r>
    </w:p>
    <w:p w14:paraId="74DAD78C"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0A8C0030" w14:textId="77777777" w:rsidR="00E85802" w:rsidRPr="00BA73B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Reformado el párrafo primero y la fracción I,</w:t>
      </w:r>
      <w:r w:rsidRPr="003F7349">
        <w:rPr>
          <w:rFonts w:ascii="Arial" w:hAnsi="Arial" w:cs="Arial"/>
          <w:sz w:val="20"/>
          <w:szCs w:val="20"/>
          <w:u w:color="000000"/>
          <w:bdr w:val="nil"/>
          <w:lang w:eastAsia="es-MX"/>
        </w:rPr>
        <w:t xml:space="preserve"> por artículo único del Decreto No. 37, publicado en el Periódico Oficial “Tierra y Libertad” No. 6025, de fecha 2021/12/22. Vigencia: 2021/12/23.</w:t>
      </w:r>
      <w:r>
        <w:rPr>
          <w:rFonts w:ascii="Arial" w:hAnsi="Arial" w:cs="Arial"/>
          <w:b/>
          <w:sz w:val="20"/>
          <w:szCs w:val="20"/>
          <w:u w:color="000000"/>
          <w:bdr w:val="nil"/>
          <w:lang w:eastAsia="es-MX"/>
        </w:rPr>
        <w:t xml:space="preserve"> Antes decía: </w:t>
      </w:r>
      <w:r w:rsidRPr="00BA73BF">
        <w:rPr>
          <w:rFonts w:ascii="Arial" w:hAnsi="Arial" w:cs="Arial"/>
          <w:sz w:val="20"/>
          <w:szCs w:val="20"/>
          <w:u w:color="000000"/>
          <w:bdr w:val="nil"/>
          <w:lang w:eastAsia="es-MX"/>
        </w:rPr>
        <w:t>Además de lo señalado en el artículo 51 de la presente Ley, el Poder Judicial y todos aquellos Órganos Constitucionales Autónomos o Administrativos que realicen funciones materialmente jurisdiccionales, deberán poner a disposición del público y actualizar la siguiente información:</w:t>
      </w:r>
    </w:p>
    <w:p w14:paraId="37EFDB53" w14:textId="77777777" w:rsidR="00E85802" w:rsidRPr="00BA73B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BA73BF">
        <w:rPr>
          <w:rFonts w:ascii="Arial" w:hAnsi="Arial" w:cs="Arial"/>
          <w:sz w:val="20"/>
          <w:szCs w:val="20"/>
          <w:u w:color="000000"/>
          <w:bdr w:val="nil"/>
          <w:lang w:eastAsia="es-MX"/>
        </w:rPr>
        <w:t>I. Las versiones públicas de las sentencias que hayan causado ejecutoria y sean de interés público;</w:t>
      </w:r>
    </w:p>
    <w:p w14:paraId="07BDC73D"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1691189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55.</w:t>
      </w:r>
      <w:r w:rsidRPr="002E074E">
        <w:rPr>
          <w:rFonts w:ascii="Arial" w:hAnsi="Arial" w:cs="Arial"/>
          <w:sz w:val="24"/>
          <w:szCs w:val="24"/>
          <w:u w:color="000000"/>
          <w:bdr w:val="nil"/>
          <w:lang w:eastAsia="es-MX"/>
        </w:rPr>
        <w:t xml:space="preserve"> Además de lo señalado en el artículo 51 de la presente Ley, los órganos autónomos deberán poner a disposición del público y actualizar la siguiente información:</w:t>
      </w:r>
    </w:p>
    <w:p w14:paraId="57696A3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21CA88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Instituto Morelense de Procedimientos Electorales y de Participación Ciudadana:</w:t>
      </w:r>
    </w:p>
    <w:p w14:paraId="2079459E"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Los listados de Partidos Políticos, Asociaciones y agrupaciones políticas o de ciudadanos registrados ante la autoridad electoral;</w:t>
      </w:r>
    </w:p>
    <w:p w14:paraId="67706F5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Los informes que presenten los partidos políticos, asociaciones y agrupaciones políticas o de ciudadanos;</w:t>
      </w:r>
    </w:p>
    <w:p w14:paraId="5F6BCB72"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La geografía y cartografía electoral;</w:t>
      </w:r>
    </w:p>
    <w:p w14:paraId="4568BDC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El registro de candidatos a cargos de elección popular;</w:t>
      </w:r>
    </w:p>
    <w:p w14:paraId="5E44CA8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El catálogo de estaciones de radio y canales de televisión, pautas de transmisión, versiones de spots de los institutos electorales y de los Partidos Políticos;</w:t>
      </w:r>
    </w:p>
    <w:p w14:paraId="1019FA4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f) Los montos de financiamiento público por actividades ordinarias, de campaña y específicas otorgadas a los partidos políticos, asociaciones y agrupaciones políticas o de ciudadanos y demás asociaciones políticas, así </w:t>
      </w:r>
      <w:r w:rsidRPr="002E074E">
        <w:rPr>
          <w:rFonts w:ascii="Arial" w:hAnsi="Arial" w:cs="Arial"/>
          <w:sz w:val="24"/>
          <w:szCs w:val="24"/>
          <w:u w:color="000000"/>
          <w:bdr w:val="nil"/>
          <w:lang w:eastAsia="es-MX"/>
        </w:rPr>
        <w:lastRenderedPageBreak/>
        <w:t>como los montos autorizados de financiamiento privado y los topes de los gastos de campañas;</w:t>
      </w:r>
    </w:p>
    <w:p w14:paraId="4FA344D7"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La metodología e informes sobre la publicación de encuestas por muestreo, encuestas de salida y conteos rápidos financiados por las autoridades electorales competentes;</w:t>
      </w:r>
    </w:p>
    <w:p w14:paraId="4594DE25"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La metodología e informe del Programa de Resultados Preliminares Electorales;</w:t>
      </w:r>
    </w:p>
    <w:p w14:paraId="7B1B1CCF"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Los cómputos totales de las elecciones y procesos de participación ciudadana;</w:t>
      </w:r>
    </w:p>
    <w:p w14:paraId="5A2D3C91"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j) Los resultados y declaraciones de validez de las elecciones;</w:t>
      </w:r>
    </w:p>
    <w:p w14:paraId="14795AD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 La información sobre votos de morelenses residentes en el extranjero;</w:t>
      </w:r>
    </w:p>
    <w:p w14:paraId="0E9E0375"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m) Los dictámenes, informes y resoluciones sobre pérdida de registro y liquidación del patrimonio de los Partidos Políticos nacionales y locales, y</w:t>
      </w:r>
    </w:p>
    <w:p w14:paraId="5EF758D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 El monitoreo de medios;</w:t>
      </w:r>
    </w:p>
    <w:p w14:paraId="52176EC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Comisión de Derechos Humanos del Estado de Morelos:</w:t>
      </w:r>
    </w:p>
    <w:p w14:paraId="6801466B"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El listado y las versiones públicas de las recomendaciones emitidas, su destinatario o autoridad a la que se recomienda y el estado que guarda su atención, incluyendo en su caso las minutas de comparecencias de los titulares que se negaron a aceptar las recomendaciones;</w:t>
      </w:r>
    </w:p>
    <w:p w14:paraId="13F76252"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Las quejas y denuncias presentadas ante las autoridades administrativas y penales respectivas, señalando el estado procesal en que se encuentran y, en su caso, el sentido en el que se resolvieron;</w:t>
      </w:r>
    </w:p>
    <w:p w14:paraId="1483A967"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Las versiones públicas del acuerdo de conciliación, previo consentimiento del quejoso;</w:t>
      </w:r>
    </w:p>
    <w:p w14:paraId="1A067E15"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d) Listado de medidas precautorias, cautelares o </w:t>
      </w:r>
      <w:proofErr w:type="gramStart"/>
      <w:r w:rsidRPr="002E074E">
        <w:rPr>
          <w:rFonts w:ascii="Arial" w:hAnsi="Arial" w:cs="Arial"/>
          <w:sz w:val="24"/>
          <w:szCs w:val="24"/>
          <w:u w:color="000000"/>
          <w:bdr w:val="nil"/>
          <w:lang w:eastAsia="es-MX"/>
        </w:rPr>
        <w:t>equivalentes giradas</w:t>
      </w:r>
      <w:proofErr w:type="gramEnd"/>
      <w:r w:rsidRPr="002E074E">
        <w:rPr>
          <w:rFonts w:ascii="Arial" w:hAnsi="Arial" w:cs="Arial"/>
          <w:sz w:val="24"/>
          <w:szCs w:val="24"/>
          <w:u w:color="000000"/>
          <w:bdr w:val="nil"/>
          <w:lang w:eastAsia="es-MX"/>
        </w:rPr>
        <w:t>, una vez concluido el Expediente;</w:t>
      </w:r>
    </w:p>
    <w:p w14:paraId="061F9ECF"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Toda la información con que cuente, relacionada con hechos constitutivos de violaciones graves de derechos humanos, una vez determinados así por la autoridad competente, incluyendo, en su caso, las acciones de reparación del daño, atención a víctimas y de no repetición;</w:t>
      </w:r>
    </w:p>
    <w:p w14:paraId="061C2100"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La información relacionada con las acciones y resultados de defensa, promoción y protección de los derechos humanos;</w:t>
      </w:r>
    </w:p>
    <w:p w14:paraId="002AC08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Los resultados de los estudios, publicaciones o investigaciones que realicen;</w:t>
      </w:r>
    </w:p>
    <w:p w14:paraId="03282E52"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Los programas de prevención y promoción en materia de derechos humanos;</w:t>
      </w:r>
    </w:p>
    <w:p w14:paraId="3785B34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j) La situación que guardan los derechos humanos en el sistema penitenciario y de readaptación social del Estado;</w:t>
      </w:r>
    </w:p>
    <w:p w14:paraId="1F3B17C0"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k) El seguimiento, evaluación y monitoreo, en materia de igualdad entre mujeres y hombres; y</w:t>
      </w:r>
    </w:p>
    <w:p w14:paraId="390AF56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Instituto Morelense de Información Pública y Estadística:</w:t>
      </w:r>
    </w:p>
    <w:p w14:paraId="7475ED73"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La relación de observaciones y resoluciones emitidas y el seguimiento a cada una de ellas, incluyendo las respuestas entregadas por los Sujetos Obligados a los solicitantes en cumplimiento de las resoluciones;</w:t>
      </w:r>
    </w:p>
    <w:p w14:paraId="6B233DF9"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Los criterios orientadores que deriven de sus resoluciones;</w:t>
      </w:r>
    </w:p>
    <w:p w14:paraId="420D7A8F"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Los resultados de la evaluación al cumplimiento de la presente Ley por parte de los Sujetos Obligados;</w:t>
      </w:r>
    </w:p>
    <w:p w14:paraId="1A23989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En su caso, las sentencias, ejecutorias o suspensiones judiciales que existan en contra de sus resoluciones, y</w:t>
      </w:r>
    </w:p>
    <w:p w14:paraId="62A1AE1F"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El número de quejas, denuncias y recursos de revisión dirigidos a cada uno de los Sujetos Obligados.</w:t>
      </w:r>
    </w:p>
    <w:p w14:paraId="6FA1D039"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2DBE094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56.</w:t>
      </w:r>
      <w:r w:rsidRPr="002E074E">
        <w:rPr>
          <w:rFonts w:ascii="Arial" w:hAnsi="Arial" w:cs="Arial"/>
          <w:sz w:val="24"/>
          <w:szCs w:val="24"/>
          <w:u w:color="000000"/>
          <w:bdr w:val="nil"/>
          <w:lang w:eastAsia="es-MX"/>
        </w:rPr>
        <w:t xml:space="preserve"> Además de lo señalado en el artículo 51 de la presente Ley, las instituciones de educación superior públicas dotadas de autonomía, deberán poner a disposición del público y actualizar la siguiente información:</w:t>
      </w:r>
    </w:p>
    <w:p w14:paraId="6E77ACB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0297E8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Los Planes y Programas de estudio según el sistema que ofrecen, ya sea escolarizado o abierto, con las áreas de conocimiento, el perfil profesional de quien cursa el plan de estudios, la duración del programa con las asignaturas, su valor en créditos;</w:t>
      </w:r>
    </w:p>
    <w:p w14:paraId="52E72AA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Toda la información relacionada con sus procedimientos administrativos;</w:t>
      </w:r>
    </w:p>
    <w:p w14:paraId="095C11F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La remuneración de los profesores, incluyendo nombre propio, puesto o plaza, primas, gratificaciones, prestaciones, comisiones, dietas, bonos, los estímulos al desempeño, sistemas de compensación, nivel y monto, señalando la periodicidad de dicha remuneración;</w:t>
      </w:r>
    </w:p>
    <w:p w14:paraId="2C2971D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lista con los profesores con licencia o en año sabático;</w:t>
      </w:r>
    </w:p>
    <w:p w14:paraId="4D021C4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 convocatoria, el listado de las becas y apoyos que otorgan;</w:t>
      </w:r>
    </w:p>
    <w:p w14:paraId="6503A65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Las convocatorias de los concursos de oposición;</w:t>
      </w:r>
    </w:p>
    <w:p w14:paraId="5811033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La información relativa a los procesos de selección de los consejos;</w:t>
      </w:r>
    </w:p>
    <w:p w14:paraId="1FB523E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Resultado de las evaluaciones del cuerpo docente, y</w:t>
      </w:r>
    </w:p>
    <w:p w14:paraId="032E52D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El listado de instituciones incorporadas, costos y requisitos de incorporación.</w:t>
      </w:r>
    </w:p>
    <w:p w14:paraId="232CF5B9"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EDB781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lastRenderedPageBreak/>
        <w:t>Artículo 57.</w:t>
      </w:r>
      <w:r w:rsidRPr="002E074E">
        <w:rPr>
          <w:rFonts w:ascii="Arial" w:hAnsi="Arial" w:cs="Arial"/>
          <w:sz w:val="24"/>
          <w:szCs w:val="24"/>
          <w:u w:color="000000"/>
          <w:bdr w:val="nil"/>
          <w:lang w:eastAsia="es-MX"/>
        </w:rPr>
        <w:t xml:space="preserve"> Además de lo señalado en el artículo 51 de la presente Ley, los partidos políticos, las agrupaciones políticas y las personas morales constituidas en asociación civil creadas por los ciudadanos que pretendan postular su candidatura independiente, según corresponda, deberán poner a disposición del público y actualizar la siguiente información:</w:t>
      </w:r>
    </w:p>
    <w:p w14:paraId="149B494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456D56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padrón de afiliados o militantes de los partidos políticos, que contendrá exclusivamente apellidos, nombre o nombres, fecha de afiliación y entidad de residencia;</w:t>
      </w:r>
    </w:p>
    <w:p w14:paraId="3244A0A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Los acuerdos y resoluciones de los órganos de dirección de los partidos políticos;</w:t>
      </w:r>
    </w:p>
    <w:p w14:paraId="0DD3621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Los convenios de participación entre partidos políticos con organizaciones de la sociedad civil;</w:t>
      </w:r>
    </w:p>
    <w:p w14:paraId="01679E4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Las organizaciones sociales adherentes o similares a algún partido político;</w:t>
      </w:r>
    </w:p>
    <w:p w14:paraId="7F30801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Los montos de las cuotas ordinarias y extraordinarias aportadas por sus militantes;</w:t>
      </w:r>
    </w:p>
    <w:p w14:paraId="02AE817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Los montos autorizados de financiamiento privado, así como una relación de los nombres de los aportantes vinculado con los montos aportados;</w:t>
      </w:r>
    </w:p>
    <w:p w14:paraId="7BAA984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El listado de aportantes a las precampañas y campañas políticas;</w:t>
      </w:r>
    </w:p>
    <w:p w14:paraId="5AA2113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Las demarcaciones electorales en las que participen;</w:t>
      </w:r>
    </w:p>
    <w:p w14:paraId="167BB8A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Los tiempos que les corresponden en canales de radio y televisión;</w:t>
      </w:r>
    </w:p>
    <w:p w14:paraId="2367F60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 Sus documentos básicos, plataformas electorales y programas de gobierno y los mecanismos de designación de los órganos de dirección en sus respectivos ámbitos;</w:t>
      </w:r>
    </w:p>
    <w:p w14:paraId="66561AB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El currículo con fotografía reciente de todos los precandidatos y candidatos a cargos de elección popular, con el cargo al que se postula y el distrito electoral;</w:t>
      </w:r>
    </w:p>
    <w:p w14:paraId="104BFD2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 El currículo de los dirigentes a nivel estatal y municipal;</w:t>
      </w:r>
    </w:p>
    <w:p w14:paraId="4E3C9C9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Los convenios de frente, coalición o fusión que celebren, o de participación electoral que realicen con agrupaciones políticas estatales;</w:t>
      </w:r>
    </w:p>
    <w:p w14:paraId="0650F0C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Las convocatorias que emitan para la elección de sus dirigentes o la postulación de sus candidatos a cargos de elección popular y, en su caso, el registro correspondiente;</w:t>
      </w:r>
    </w:p>
    <w:p w14:paraId="6A31CF8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Los responsables de los procesos internos de evaluación y selección de candidatos a cargos de elección popular, conforme a su normatividad interna;</w:t>
      </w:r>
    </w:p>
    <w:p w14:paraId="13F3EBC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Las resoluciones dictadas por los órganos de control;</w:t>
      </w:r>
    </w:p>
    <w:p w14:paraId="0FA7FFF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XVII. Los montos de financiamiento público otorgados mensualmente, en cualquier modalidad, a sus órganos estatales y municipales, así como los descuentos correspondientes a sanciones;</w:t>
      </w:r>
    </w:p>
    <w:p w14:paraId="3B12763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XVIII. Las resoluciones que emitan sus órganos disciplinarios ya sea estatal o municipal, una vez que hayan causado estado;</w:t>
      </w:r>
    </w:p>
    <w:p w14:paraId="4E4D5E7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Los nombres de sus representantes ante la autoridad electoral competente;</w:t>
      </w:r>
    </w:p>
    <w:p w14:paraId="092DD03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 Los mecanismos de control y supervisión aplicados a los procesos internos de selección de candidatos;</w:t>
      </w:r>
    </w:p>
    <w:p w14:paraId="3D990D9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 El listado de fundaciones, asociaciones, centros o institutos de investigación o capacitación o cualquier otro que reciban apoyo económico de los partidos políticos, así como los montos destinados para tal efecto;</w:t>
      </w:r>
    </w:p>
    <w:p w14:paraId="33AC3F1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 Las resoluciones que dicte la autoridad electoral competente respecto de los informes de ingresos y gastos, y</w:t>
      </w:r>
    </w:p>
    <w:p w14:paraId="71FE17C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XXIII. Las demás que prevean la Ley General y la normativa aplicable.</w:t>
      </w:r>
    </w:p>
    <w:p w14:paraId="3BE2D169"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78871E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58.</w:t>
      </w:r>
      <w:r w:rsidRPr="002E074E">
        <w:rPr>
          <w:rFonts w:ascii="Arial" w:hAnsi="Arial" w:cs="Arial"/>
          <w:sz w:val="24"/>
          <w:szCs w:val="24"/>
          <w:u w:color="000000"/>
          <w:bdr w:val="nil"/>
          <w:lang w:eastAsia="es-MX"/>
        </w:rPr>
        <w:t xml:space="preserve"> Además de lo señalado en el artículo 51 de la presente Ley, los fideicomisos, fondos públicos, mandatos o cualquier contrato análogo, deberán poner a disposición del público y mantener actualizada y accesible, en lo que resulte aplicable a cada contrato, la siguiente información:</w:t>
      </w:r>
    </w:p>
    <w:p w14:paraId="18866CB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80521A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Las modificaciones que, en su caso, sufran los contratos o decretos de constitución del fideicomiso o del fondo público;</w:t>
      </w:r>
    </w:p>
    <w:p w14:paraId="77E93C4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El padrón de beneficiarios, en su caso;</w:t>
      </w:r>
    </w:p>
    <w:p w14:paraId="49BAD24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Causas por las que, en su caso, se inicie el proceso de constitución o extinción del fideicomiso o fondo público, especificando de manera detallada los recursos financieros destinados para tal efecto, y</w:t>
      </w:r>
    </w:p>
    <w:p w14:paraId="1F22B1B6" w14:textId="77777777" w:rsidR="00E85802" w:rsidRPr="002E074E" w:rsidRDefault="00E85802" w:rsidP="00F421EF">
      <w:pPr>
        <w:numPr>
          <w:ilvl w:val="0"/>
          <w:numId w:val="19"/>
        </w:numPr>
        <w:pBdr>
          <w:top w:val="nil"/>
          <w:left w:val="nil"/>
          <w:bottom w:val="nil"/>
          <w:right w:val="nil"/>
          <w:between w:val="nil"/>
          <w:bar w:val="nil"/>
        </w:pBdr>
        <w:tabs>
          <w:tab w:val="left" w:pos="142"/>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firstLine="0"/>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demás que prevean la Ley General y la normativa aplicable.</w:t>
      </w:r>
    </w:p>
    <w:p w14:paraId="11084F83"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6DF178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611E0">
        <w:rPr>
          <w:rFonts w:ascii="Arial" w:hAnsi="Arial" w:cs="Arial"/>
          <w:b/>
          <w:bCs/>
          <w:sz w:val="24"/>
          <w:szCs w:val="24"/>
          <w:u w:color="000000"/>
          <w:bdr w:val="nil"/>
          <w:lang w:eastAsia="es-MX"/>
        </w:rPr>
        <w:t>Artículo 59.</w:t>
      </w:r>
      <w:r w:rsidRPr="002E074E">
        <w:rPr>
          <w:rFonts w:ascii="Arial" w:hAnsi="Arial" w:cs="Arial"/>
          <w:sz w:val="24"/>
          <w:szCs w:val="24"/>
          <w:u w:color="000000"/>
          <w:bdr w:val="nil"/>
          <w:lang w:eastAsia="es-MX"/>
        </w:rPr>
        <w:t xml:space="preserve"> Las autoridades administrativas y jurisdiccionales en materia laboral deberán poner a disposición del público y mantener actualizada y accesible, la siguiente información de los sindicatos:</w:t>
      </w:r>
    </w:p>
    <w:p w14:paraId="37956B3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A3EA4B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Los documentos del registro de los sindicatos, que deberán contener, entre otros:</w:t>
      </w:r>
    </w:p>
    <w:p w14:paraId="504135B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El domicilio;</w:t>
      </w:r>
    </w:p>
    <w:p w14:paraId="70B609BD"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Número de registro;</w:t>
      </w:r>
    </w:p>
    <w:p w14:paraId="12A07F37"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c) Nombre del sindicato;</w:t>
      </w:r>
    </w:p>
    <w:p w14:paraId="323D15A8"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 Nombre de los integrantes del comité ejecutivo y comisiones que ejerzan funciones de vigilancia;</w:t>
      </w:r>
    </w:p>
    <w:p w14:paraId="6C749C1B"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 Fecha de vigencia del comité ejecutivo;</w:t>
      </w:r>
    </w:p>
    <w:p w14:paraId="50959BFD"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f) Número de socios;</w:t>
      </w:r>
    </w:p>
    <w:p w14:paraId="168E0D35"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g) Centro de trabajo al que pertenezcan, y</w:t>
      </w:r>
    </w:p>
    <w:p w14:paraId="629D6AFD"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h) Central a la que pertenezcan, en su caso;</w:t>
      </w:r>
    </w:p>
    <w:p w14:paraId="4C1E69B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Las tomas de nota;</w:t>
      </w:r>
    </w:p>
    <w:p w14:paraId="45CA6A5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estatuto;</w:t>
      </w:r>
    </w:p>
    <w:p w14:paraId="015E9C2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padrón de socios;</w:t>
      </w:r>
    </w:p>
    <w:p w14:paraId="2598F9A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Las actas de asamblea;</w:t>
      </w:r>
    </w:p>
    <w:p w14:paraId="78AF519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Los reglamentos interiores de trabajo;</w:t>
      </w:r>
    </w:p>
    <w:p w14:paraId="78D9065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Los contratos colectivos, incluyendo el tabulador, convenios y las condiciones generales de trabajo, y</w:t>
      </w:r>
    </w:p>
    <w:p w14:paraId="38D55E5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Todos los documentos contenidos en el expediente de registro sindical y de contratos colectivos de trabajo.</w:t>
      </w:r>
    </w:p>
    <w:p w14:paraId="6C904F7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745AD1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autoridades administrativas y jurisdiccionales en materia laboral deberán expedir copias de los documentos que obren en los expedientes de los registros a los solicitantes que los requieran, de conformidad con el procedimiento de acceso a la información.</w:t>
      </w:r>
    </w:p>
    <w:p w14:paraId="03327126" w14:textId="77777777" w:rsidR="005D6890" w:rsidRPr="002E074E" w:rsidRDefault="005D6890"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70D7CC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Por lo que se refiere a los documentos que obran en el Expediente de registro de las asociaciones, únicamente estará clasificada como información confidencial, los domicilios de los trabajadores señalados en los padrones de socios.</w:t>
      </w:r>
    </w:p>
    <w:p w14:paraId="6B77E3A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164B0C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60</w:t>
      </w:r>
      <w:r w:rsidRPr="00913794">
        <w:rPr>
          <w:rFonts w:ascii="Arial" w:hAnsi="Arial" w:cs="Arial"/>
          <w:b/>
          <w:sz w:val="24"/>
          <w:szCs w:val="24"/>
          <w:u w:color="000000"/>
          <w:bdr w:val="nil"/>
          <w:lang w:eastAsia="es-MX"/>
        </w:rPr>
        <w:t>.</w:t>
      </w:r>
      <w:r w:rsidRPr="002E074E">
        <w:rPr>
          <w:rFonts w:ascii="Arial" w:hAnsi="Arial" w:cs="Arial"/>
          <w:sz w:val="24"/>
          <w:szCs w:val="24"/>
          <w:u w:color="000000"/>
          <w:bdr w:val="nil"/>
          <w:lang w:eastAsia="es-MX"/>
        </w:rPr>
        <w:t xml:space="preserve"> Los sindicatos que reciban y ejerzan recursos públicos deberán mantener actualizada y accesible, de forma impresa para consulta directa y en los respectivos sitios de Internet, la información aplicable del artículo 51 de esta Ley, la señalada en el artículo anterior y la siguiente:</w:t>
      </w:r>
    </w:p>
    <w:p w14:paraId="3EDF27C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206A50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Contratos y convenios entre sindicatos y autoridades;</w:t>
      </w:r>
    </w:p>
    <w:p w14:paraId="23F621A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El directorio del Comité Ejecutivo;</w:t>
      </w:r>
    </w:p>
    <w:p w14:paraId="34753C1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padrón de socios, y</w:t>
      </w:r>
    </w:p>
    <w:p w14:paraId="108FEC7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IV. La relación detallada de los recursos públicos económicos, en especie, bienes o donativos que reciban y el informe detallado del ejercicio y destino final de los recursos públicos que ejerzan.</w:t>
      </w:r>
    </w:p>
    <w:p w14:paraId="7C6F797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B934A6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Por lo que se refiere a los documentos que obran en el expediente de registro de las asociaciones, únicamente estará clasificada como información confidencial, los domicilios de los trabajadores señalados en los padrones de socios.</w:t>
      </w:r>
    </w:p>
    <w:p w14:paraId="3C99532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118499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que asignen recursos públicos a los sindicatos, deberán habilitar un espacio en sus páginas de internet para que éstos cumplan con sus obligaciones de transparencia y dispongan de la infraestructura tecnológica para el uso y acceso a la Plataforma Electrónica respectiva. En todo momento el sindicato será el responsable de la publicación, actualización y accesibilidad de la información.</w:t>
      </w:r>
    </w:p>
    <w:p w14:paraId="7BCD510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EAA1B1D" w14:textId="77777777" w:rsidR="00E85802" w:rsidRPr="00913794"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CAPÍTULO IV</w:t>
      </w:r>
    </w:p>
    <w:p w14:paraId="2EDEE966" w14:textId="77777777" w:rsidR="00E85802" w:rsidRPr="00913794"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DE LAS OBLIGACIONES ESPECÍFICAS DE LAS PERSONAS FÍSICAS O MORALES QUE RECIBEN Y EJERCEN RECURSOS PÚBLICOS O REALIZAN ACTOS DE AUTORIDAD.</w:t>
      </w:r>
    </w:p>
    <w:p w14:paraId="38ACBAEF"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58C243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61.</w:t>
      </w:r>
      <w:r w:rsidRPr="002E074E">
        <w:rPr>
          <w:rFonts w:ascii="Arial" w:hAnsi="Arial" w:cs="Arial"/>
          <w:sz w:val="24"/>
          <w:szCs w:val="24"/>
          <w:u w:color="000000"/>
          <w:bdr w:val="nil"/>
          <w:lang w:eastAsia="es-MX"/>
        </w:rPr>
        <w:t xml:space="preserve"> Para determinar la información adicional que publicarán todos los Sujetos Obligados de manera obligatoria, el Instituto deberá:</w:t>
      </w:r>
    </w:p>
    <w:p w14:paraId="7C57019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0E4D7F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Solicitar a los Sujetos Obligados que, atendiendo a los lineamientos emitidos por el Sistema Nacional, remitan el listado de información que consideren de interés público;</w:t>
      </w:r>
    </w:p>
    <w:p w14:paraId="563F18E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Revisar el listado que remitió el sujeto obligado con base en las funciones, atribuciones y competencias que la normatividad aplicable le otorgue, y</w:t>
      </w:r>
    </w:p>
    <w:p w14:paraId="4DAAD91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Determinar el catálogo de información que el sujeto obligado deberá publicar como obligación de transparencia.</w:t>
      </w:r>
    </w:p>
    <w:p w14:paraId="2E562CC8"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3B00B2B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62.</w:t>
      </w:r>
      <w:r w:rsidRPr="002E074E">
        <w:rPr>
          <w:rFonts w:ascii="Arial" w:hAnsi="Arial" w:cs="Arial"/>
          <w:sz w:val="24"/>
          <w:szCs w:val="24"/>
          <w:u w:color="000000"/>
          <w:bdr w:val="nil"/>
          <w:lang w:eastAsia="es-MX"/>
        </w:rPr>
        <w:t xml:space="preserve"> El Instituto determinará los casos en que las personas físicas o morales que reciban y ejerzan recursos públicos, o realicen actos de autoridad, cumplirán con las obligaciones de transparencia y acceso a la información directamente o a través de los Sujetos Obligados que les asignen dichos recursos o, en los términos de las disposiciones aplicables, realicen actos de autoridad.</w:t>
      </w:r>
    </w:p>
    <w:p w14:paraId="24D43FC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Los Sujetos Obligados correspondientes deberán enviar conforme establezca el Reglamento y demás normativa aplicable, al Instituto un listado de las personas físicas o morales a los que, por cualquier motivo, asignaron recursos públicos o, en los términos que establezcan las disposiciones aplicables, ejercen actos de autoridad.</w:t>
      </w:r>
    </w:p>
    <w:p w14:paraId="7D9FFC2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D9940D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Para resolver sobre el cumplimento de lo señalado en el párrafo anterior, el Instituto tomará en cuenta si realiza una función gubernamental, el nivel de financiamiento público, el nivel de regulación e involucramiento gubernamental y si el gobierno participó en su creación.</w:t>
      </w:r>
    </w:p>
    <w:p w14:paraId="7B59DF8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1E24E3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63.</w:t>
      </w:r>
      <w:r w:rsidRPr="002E074E">
        <w:rPr>
          <w:rFonts w:ascii="Arial" w:hAnsi="Arial" w:cs="Arial"/>
          <w:sz w:val="24"/>
          <w:szCs w:val="24"/>
          <w:u w:color="000000"/>
          <w:bdr w:val="nil"/>
          <w:lang w:eastAsia="es-MX"/>
        </w:rPr>
        <w:t xml:space="preserve"> Para determinar la información que deberán hacer pública las personas físicas o morales que reciben y ejercen recursos públicos o realizan actos de autoridad, el Instituto deberá:</w:t>
      </w:r>
    </w:p>
    <w:p w14:paraId="21E0332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1184E5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Solicitar a las personas físicas o morales que, atendiendo a los lineamientos emitidos por el Sistema Nacional, remitan el listado de información que consideren de interés público;</w:t>
      </w:r>
    </w:p>
    <w:p w14:paraId="0C8154C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Revisar el listado que remitió la persona física o moral en la medida en que reciban y ejerzan recursos o realicen actos de autoridad que la normatividad aplicable le otorgue, y</w:t>
      </w:r>
    </w:p>
    <w:p w14:paraId="589DA6C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Determinar las obligaciones de transparencia que deben cumplir y los plazos para ello.</w:t>
      </w:r>
    </w:p>
    <w:p w14:paraId="33146714"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30C33FFC" w14:textId="77777777" w:rsidR="00E85802" w:rsidRPr="00913794"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CAPÍTULO V</w:t>
      </w:r>
    </w:p>
    <w:p w14:paraId="4D7A7898" w14:textId="77777777" w:rsidR="00E85802" w:rsidRPr="00913794"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DE LA VERIFICACIÓN DE LAS OBLIGACIONES DE TRANSPARENCIA</w:t>
      </w:r>
    </w:p>
    <w:p w14:paraId="6E713516" w14:textId="77777777" w:rsidR="00E85802" w:rsidRPr="00913794"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080E6CF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64.</w:t>
      </w:r>
      <w:r w:rsidRPr="00913794">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Corresponde al Instituto vigilar que las obligaciones de transparencia que publiquen los Sujetos Obligados cumplan con lo dispuesto en el presente Título y demás disposiciones aplicables.</w:t>
      </w:r>
    </w:p>
    <w:p w14:paraId="2C77808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F8A560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Las determinaciones que emita el Instituto </w:t>
      </w:r>
      <w:r w:rsidRPr="002E074E">
        <w:rPr>
          <w:rFonts w:ascii="Arial" w:hAnsi="Arial" w:cs="Arial"/>
          <w:w w:val="90"/>
          <w:sz w:val="24"/>
          <w:szCs w:val="24"/>
          <w:u w:color="000000"/>
          <w:bdr w:val="nil"/>
          <w:lang w:eastAsia="es-MX"/>
        </w:rPr>
        <w:t>deberán establecer los requerimientos,</w:t>
      </w:r>
      <w:r w:rsidRPr="002E074E">
        <w:rPr>
          <w:rFonts w:ascii="Arial" w:hAnsi="Arial" w:cs="Arial"/>
          <w:sz w:val="24"/>
          <w:szCs w:val="24"/>
          <w:u w:color="000000"/>
          <w:bdr w:val="nil"/>
          <w:lang w:eastAsia="es-MX"/>
        </w:rPr>
        <w:t xml:space="preserve"> recomendaciones u observaciones que formule y los términos y plazos en los que los Sujetos Obligados deberán atenderlas. El incumplimiento a los requerimientos formulados, será motivo para aplicar las medidas de apremio, sin perjuicio de las sanciones a que haya lugar.</w:t>
      </w:r>
    </w:p>
    <w:p w14:paraId="5F67422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lastRenderedPageBreak/>
        <w:t>Artículo 65.</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Las acciones de vigilancia y verificación a que se refiere este Capítulo, se realizarán a través de la verificación virtual. Esta vigilancia surgirá de los resultados de la verificación que se lleve a cabo de manera oficiosa por el Instituto al portal de internet de los Sujetos Obligados o de la Plataforma Electrónica correspondiente, ya sea de forma general, particular, aleatoria, muestral o periódica.</w:t>
      </w:r>
    </w:p>
    <w:p w14:paraId="1760B9D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4C63C6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Para el caso de la información publicada a la que se refieren las fracciones VIII, IX y XI del artículo 51, deberá ser contrastada por el Instituto con lo que se le informa a la Entidad con motivo de las auditorías practicadas y, en el supuesto de que </w:t>
      </w:r>
      <w:proofErr w:type="gramStart"/>
      <w:r w:rsidRPr="002E074E">
        <w:rPr>
          <w:rFonts w:ascii="Arial" w:hAnsi="Arial" w:cs="Arial"/>
          <w:sz w:val="24"/>
          <w:szCs w:val="24"/>
          <w:u w:color="000000"/>
          <w:bdr w:val="nil"/>
          <w:lang w:eastAsia="es-MX"/>
        </w:rPr>
        <w:t>encontrara</w:t>
      </w:r>
      <w:proofErr w:type="gramEnd"/>
      <w:r w:rsidRPr="002E074E">
        <w:rPr>
          <w:rFonts w:ascii="Arial" w:hAnsi="Arial" w:cs="Arial"/>
          <w:sz w:val="24"/>
          <w:szCs w:val="24"/>
          <w:u w:color="000000"/>
          <w:bdr w:val="nil"/>
          <w:lang w:eastAsia="es-MX"/>
        </w:rPr>
        <w:t xml:space="preserve"> alguna discrepancia, deberá llevar a cabo las acciones legales correspondientes.</w:t>
      </w:r>
    </w:p>
    <w:p w14:paraId="740735D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3A8985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66.</w:t>
      </w:r>
      <w:r w:rsidRPr="002E074E">
        <w:rPr>
          <w:rFonts w:ascii="Arial" w:hAnsi="Arial" w:cs="Arial"/>
          <w:sz w:val="24"/>
          <w:szCs w:val="24"/>
          <w:u w:color="000000"/>
          <w:bdr w:val="nil"/>
          <w:lang w:eastAsia="es-MX"/>
        </w:rPr>
        <w:t xml:space="preserve"> La verificación que realice el Instituto en el ámbito de su respectiva competencia, se sujetará a lo siguiente:</w:t>
      </w:r>
    </w:p>
    <w:p w14:paraId="05EA61B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BB2430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Constatar que la información esté completa, publicada y actualizada en tiempo y forma;</w:t>
      </w:r>
    </w:p>
    <w:p w14:paraId="50C13B5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Emitir un dictamen en el que podrán determinar que el sujeto obligado se ajusta a lo establecido por esta Ley y demás disposiciones, o contrariamente determinar que existe incumplimiento a lo previsto por la Ley y demás normativa aplicable, en cuyo caso formulará los requerimientos que procedan a efecto de que el Sujeto Obligado subsane las inconsistencias detectadas dentro de un plazo no mayor a veinte días;</w:t>
      </w:r>
    </w:p>
    <w:p w14:paraId="200DE7A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Sujeto Obligado deberá informar al organismo garante sobre el cumplimento de los requerimientos del dictamen, y</w:t>
      </w:r>
    </w:p>
    <w:p w14:paraId="507D896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El Instituto verificará el cumplimiento a la resolución una vez transcurrido el plazo y si considera que se dio cumplimiento los requerimientos del dictamen, se emitirá un acuerdo de cumplimiento.</w:t>
      </w:r>
    </w:p>
    <w:p w14:paraId="7B0C042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70976E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podrá solicitar los informes complementarios al Sujeto Obligado que requiera para allegarse de los elementos de juicio que considere necesarios para llevar a cabo la verificación.</w:t>
      </w:r>
    </w:p>
    <w:p w14:paraId="6122A70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96E72B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Cuando el Instituto considere que existe un incumplimiento total o parcial de la determinación, le notificará, por conducto de la Unidad de Transparencia, al superior jerárquico del servidor público responsable de dar cumplimiento, para el efecto de </w:t>
      </w:r>
      <w:r w:rsidRPr="002E074E">
        <w:rPr>
          <w:rFonts w:ascii="Arial" w:hAnsi="Arial" w:cs="Arial"/>
          <w:sz w:val="24"/>
          <w:szCs w:val="24"/>
          <w:u w:color="000000"/>
          <w:bdr w:val="nil"/>
          <w:lang w:eastAsia="es-MX"/>
        </w:rPr>
        <w:lastRenderedPageBreak/>
        <w:t>que, en un plazo no mayor a cinco días, se dé cumplimiento a los requerimientos del dictamen.</w:t>
      </w:r>
    </w:p>
    <w:p w14:paraId="6D34832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298DF8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que el Instituto considere que subsiste el incumplimiento total o parcial de la resolución, en un plazo no mayor a cinco días, se informará al Pleno para que, en su caso, imponga las medidas de apremio o sanciones, conforme a lo establecido por esta Ley.</w:t>
      </w:r>
    </w:p>
    <w:p w14:paraId="0DC47F9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65F57C9" w14:textId="77777777" w:rsidR="00E85802" w:rsidRPr="00913794"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CAPÍTULO VI</w:t>
      </w:r>
    </w:p>
    <w:p w14:paraId="52B79FFF" w14:textId="77777777" w:rsidR="00E85802" w:rsidRPr="00913794"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913794">
        <w:rPr>
          <w:rFonts w:ascii="Arial" w:hAnsi="Arial" w:cs="Arial"/>
          <w:b/>
          <w:bCs/>
          <w:sz w:val="24"/>
          <w:szCs w:val="24"/>
          <w:u w:color="000000"/>
          <w:bdr w:val="nil"/>
          <w:lang w:eastAsia="es-MX"/>
        </w:rPr>
        <w:t>DE LA DENUNCIA POR INCUMPLIMIENTO DE LAS OBLIGACIONES DE TRANSPARENCIA</w:t>
      </w:r>
    </w:p>
    <w:p w14:paraId="6981DBA4" w14:textId="77777777" w:rsidR="00E85802" w:rsidRPr="00913794"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35D412E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67.</w:t>
      </w:r>
      <w:r w:rsidRPr="002E074E">
        <w:rPr>
          <w:rFonts w:ascii="Arial" w:hAnsi="Arial" w:cs="Arial"/>
          <w:sz w:val="24"/>
          <w:szCs w:val="24"/>
          <w:u w:color="000000"/>
          <w:bdr w:val="nil"/>
          <w:lang w:eastAsia="es-MX"/>
        </w:rPr>
        <w:t xml:space="preserve"> El Instituto, de oficio o a petición de los particulares, verificará el cumplimiento que los Sujetos Obligados den a las obligaciones de transparencia.</w:t>
      </w:r>
    </w:p>
    <w:p w14:paraId="23E5BFB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Cualquier persona podrá denunciar ante el Instituto la falta de cumplimiento de tales obligaciones. Las denuncias presentadas por los particulares podrán realizarse en cualquier momento y se integrará por las siguientes etapas:</w:t>
      </w:r>
    </w:p>
    <w:p w14:paraId="3FF9D31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E23BE8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Presentación de la denuncia ante el Instituto;</w:t>
      </w:r>
    </w:p>
    <w:p w14:paraId="6C50D1C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Solicitud por parte del Instituto de un informe al sujeto obligado;</w:t>
      </w:r>
    </w:p>
    <w:p w14:paraId="738BA01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Resolución de la denuncia, y</w:t>
      </w:r>
    </w:p>
    <w:p w14:paraId="4E88ACF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Ejecución de la resolución.</w:t>
      </w:r>
    </w:p>
    <w:p w14:paraId="6C60D5F3"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9FCB10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68</w:t>
      </w:r>
      <w:r w:rsidRPr="00913794">
        <w:rPr>
          <w:rFonts w:ascii="Arial" w:hAnsi="Arial" w:cs="Arial"/>
          <w:b/>
          <w:sz w:val="24"/>
          <w:szCs w:val="24"/>
          <w:u w:color="000000"/>
          <w:bdr w:val="nil"/>
          <w:lang w:eastAsia="es-MX"/>
        </w:rPr>
        <w:t>.</w:t>
      </w:r>
      <w:r w:rsidRPr="002E074E">
        <w:rPr>
          <w:rFonts w:ascii="Arial" w:hAnsi="Arial" w:cs="Arial"/>
          <w:sz w:val="24"/>
          <w:szCs w:val="24"/>
          <w:u w:color="000000"/>
          <w:bdr w:val="nil"/>
          <w:lang w:eastAsia="es-MX"/>
        </w:rPr>
        <w:t xml:space="preserve"> La denuncia por incumplimiento a las obligaciones de transparencia deberá cumplir, al menos, los siguientes requisitos:</w:t>
      </w:r>
    </w:p>
    <w:p w14:paraId="4E204D2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3CDBC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Nombre del sujeto obligado denunciado;</w:t>
      </w:r>
    </w:p>
    <w:p w14:paraId="61C8893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Descripción clara y precisa del incumplimiento denunciado;</w:t>
      </w:r>
    </w:p>
    <w:p w14:paraId="6544924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denunciante podrá adjuntar los medios de prueba que estime necesarios para respaldar el incumplimiento denunciado;</w:t>
      </w:r>
    </w:p>
    <w:p w14:paraId="12AC16A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En caso de que la denuncia se presente por escrito, el denunciante deberá señalar domicilio o dirección de correo electrónico para recibir notificaciones. En caso de que la denuncia se presente por medios electrónicos, se entenderá que se acepta que las notificaciones se efectúen por el mismo medio. En caso de que no se señale domicilio o dirección de correo electrónico o se señale un domicilio </w:t>
      </w:r>
      <w:r w:rsidRPr="002E074E">
        <w:rPr>
          <w:rFonts w:ascii="Arial" w:hAnsi="Arial" w:cs="Arial"/>
          <w:sz w:val="24"/>
          <w:szCs w:val="24"/>
          <w:u w:color="000000"/>
          <w:bdr w:val="nil"/>
          <w:lang w:eastAsia="es-MX"/>
        </w:rPr>
        <w:lastRenderedPageBreak/>
        <w:t>fuera del estado de Morelos, las notificaciones, aún las de carácter personal, se practicarán a través de los estrados físicos del Instituto, y</w:t>
      </w:r>
    </w:p>
    <w:p w14:paraId="6EED668B" w14:textId="77777777" w:rsidR="00E85802" w:rsidRPr="002E074E" w:rsidRDefault="00E85802" w:rsidP="00E85802">
      <w:pPr>
        <w:pBdr>
          <w:top w:val="nil"/>
          <w:left w:val="nil"/>
          <w:bottom w:val="nil"/>
          <w:right w:val="nil"/>
          <w:between w:val="nil"/>
          <w:bar w:val="nil"/>
        </w:pBdr>
        <w:tabs>
          <w:tab w:val="left" w:pos="993"/>
        </w:tabs>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V. </w:t>
      </w:r>
      <w:r w:rsidRPr="002E074E">
        <w:rPr>
          <w:rFonts w:ascii="Arial" w:hAnsi="Arial" w:cs="Arial"/>
          <w:sz w:val="24"/>
          <w:szCs w:val="24"/>
          <w:u w:color="000000"/>
          <w:bdr w:val="nil"/>
          <w:lang w:eastAsia="es-MX"/>
        </w:rPr>
        <w:t>El nombre del denunciante y, opcionalmente, su perfil únicamente para propósitos estadísticos. Esta información será proporcionada por el denunciante de manera voluntaria.</w:t>
      </w:r>
    </w:p>
    <w:p w14:paraId="2483E1F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280001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ningún caso el dato sobre el nombre y el perfil podrán ser un requisito para la procedencia y trámite de la solicitud.</w:t>
      </w:r>
    </w:p>
    <w:p w14:paraId="338F6F62"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20B0C8F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69.</w:t>
      </w:r>
      <w:r w:rsidRPr="002E074E">
        <w:rPr>
          <w:rFonts w:ascii="Arial" w:hAnsi="Arial" w:cs="Arial"/>
          <w:sz w:val="24"/>
          <w:szCs w:val="24"/>
          <w:u w:color="000000"/>
          <w:bdr w:val="nil"/>
          <w:lang w:eastAsia="es-MX"/>
        </w:rPr>
        <w:t xml:space="preserve"> La denuncia podrá presentarse de la forma siguiente:</w:t>
      </w:r>
    </w:p>
    <w:p w14:paraId="391A4E5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13C830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Por medio electrónico:</w:t>
      </w:r>
    </w:p>
    <w:p w14:paraId="497B5D16"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A través de la Plataforma Electrónica correspondiente, y</w:t>
      </w:r>
    </w:p>
    <w:p w14:paraId="1CAF0204" w14:textId="77777777" w:rsidR="00E85802" w:rsidRPr="002E074E" w:rsidRDefault="00E85802" w:rsidP="00E85802">
      <w:pPr>
        <w:pBdr>
          <w:top w:val="nil"/>
          <w:left w:val="nil"/>
          <w:bottom w:val="nil"/>
          <w:right w:val="nil"/>
          <w:between w:val="nil"/>
          <w:bar w:val="nil"/>
        </w:pBdr>
        <w:spacing w:after="0" w:line="240" w:lineRule="auto"/>
        <w:ind w:left="567"/>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Por correo electrónico dirigido a la dirección electrónica que al efecto se establezca; y</w:t>
      </w:r>
    </w:p>
    <w:p w14:paraId="00ED11F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Por escrito presentado físicamente, ante la Unidad de Transparencia del Instituto.</w:t>
      </w:r>
    </w:p>
    <w:p w14:paraId="21D63720"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320D81A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13794">
        <w:rPr>
          <w:rFonts w:ascii="Arial" w:hAnsi="Arial" w:cs="Arial"/>
          <w:b/>
          <w:bCs/>
          <w:sz w:val="24"/>
          <w:szCs w:val="24"/>
          <w:u w:color="000000"/>
          <w:bdr w:val="nil"/>
          <w:lang w:eastAsia="es-MX"/>
        </w:rPr>
        <w:t>Artículo 70.</w:t>
      </w:r>
      <w:r w:rsidRPr="002E074E">
        <w:rPr>
          <w:rFonts w:ascii="Arial" w:hAnsi="Arial" w:cs="Arial"/>
          <w:sz w:val="24"/>
          <w:szCs w:val="24"/>
          <w:u w:color="000000"/>
          <w:bdr w:val="nil"/>
          <w:lang w:eastAsia="es-MX"/>
        </w:rPr>
        <w:t xml:space="preserve"> El Instituto resolverá sobre la admisión de la denuncia dentro de los tres días hábiles siguientes a la recepción. La notificación de admisión si es el caso, se notificará al sujeto obligado dentro de los tres días hábiles siguientes.</w:t>
      </w:r>
    </w:p>
    <w:p w14:paraId="4B34678E"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3475A06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71.</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Sujeto Obligado debe enviar al Instituto, un informe con justificación respecto de los hechos o motivos de la denuncia dentro de los tres días hábiles siguientes a la notificación anterior.</w:t>
      </w:r>
    </w:p>
    <w:p w14:paraId="1F9710C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16B136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puede realizar las verificaciones virtuales que procedan, así como solicitar los informes complementarios al Sujeto Obligado que requiera para allegarse de los elementos que considere necesarios para resolver la denuncia.</w:t>
      </w:r>
    </w:p>
    <w:p w14:paraId="03D36AD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0B5DA6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informes complementarios, el Sujeto Obligado deberá responder a los mismos, en el término de tres días hábiles siguientes a la notificación correspondiente.</w:t>
      </w:r>
    </w:p>
    <w:p w14:paraId="3B89484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CA744C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lastRenderedPageBreak/>
        <w:t>Artículo 72.</w:t>
      </w:r>
      <w:r w:rsidRPr="002E074E">
        <w:rPr>
          <w:rFonts w:ascii="Arial" w:hAnsi="Arial" w:cs="Arial"/>
          <w:sz w:val="24"/>
          <w:szCs w:val="24"/>
          <w:u w:color="000000"/>
          <w:bdr w:val="nil"/>
          <w:lang w:eastAsia="es-MX"/>
        </w:rPr>
        <w:t xml:space="preserve"> El Instituto resolverá la denuncia, dentro de los veinte días hábiles siguientes al término del plazo en que el Sujeto Obligado debe presentar su informe o, en su caso, los informes complementarios.</w:t>
      </w:r>
    </w:p>
    <w:p w14:paraId="580676D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B09C2D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resolución debe ser fundada y motivada e invariablemente debe pronunciarse sobre el cumplimiento de la publicación de la información por parte del Sujeto Obligado.</w:t>
      </w:r>
    </w:p>
    <w:p w14:paraId="1084767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4C099B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73.</w:t>
      </w:r>
      <w:r w:rsidRPr="002E074E">
        <w:rPr>
          <w:rFonts w:ascii="Arial" w:hAnsi="Arial" w:cs="Arial"/>
          <w:sz w:val="24"/>
          <w:szCs w:val="24"/>
          <w:u w:color="000000"/>
          <w:bdr w:val="nil"/>
          <w:lang w:eastAsia="es-MX"/>
        </w:rPr>
        <w:t xml:space="preserve"> El Instituto notificará la resolución al denunciante y al Sujeto Obligado, dentro de los tres días hábiles siguientes a su emisión.</w:t>
      </w:r>
    </w:p>
    <w:p w14:paraId="2BD5614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4011D2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resoluciones que emita el Instituto, a que se refiere este Capítulo son definitivas e inatacables para los Sujetos Obligados. El particular podrá impugnar la resolución por la vía del juicio de amparo que corresponda, en los términos de la normativa aplicable.</w:t>
      </w:r>
    </w:p>
    <w:p w14:paraId="29C77A5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4AE39E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sujeto obligado deberá cumplir con la resolución en un plazo de diez días naturales a partir del día siguiente de su notificación.</w:t>
      </w:r>
    </w:p>
    <w:p w14:paraId="0AEFE68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06C795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74.</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Transcurrido el plazo señalado en el artículo anterior, el Sujeto Obligado deberá informar al Instituto sobre el cumplimento de la resolución.</w:t>
      </w:r>
    </w:p>
    <w:p w14:paraId="4C7757A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Instituto, verificará el cumplimiento a la resolución; si considera que se dio cumplimiento a la resolución, se emitirán un acuerdo de cumplimiento y se ordenará el cierre del expediente.</w:t>
      </w:r>
    </w:p>
    <w:p w14:paraId="196A1D6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6F69E5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el Instituto, considere que existe un incumplimiento total o parcial de la resolución, notificará, por conducto de la Unidad de Transparencia del Sujeto Obligado, al superior jerárquico del servidor público responsable de dar cumplimiento, para el efecto de que, en un plazo no mayor a cinco días hábiles, se dé cumplimiento a la resolución.</w:t>
      </w:r>
    </w:p>
    <w:p w14:paraId="0E24F94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B7BB67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75.</w:t>
      </w:r>
      <w:r w:rsidRPr="002E074E">
        <w:rPr>
          <w:rFonts w:ascii="Arial" w:hAnsi="Arial" w:cs="Arial"/>
          <w:sz w:val="24"/>
          <w:szCs w:val="24"/>
          <w:u w:color="000000"/>
          <w:bdr w:val="nil"/>
          <w:lang w:eastAsia="es-MX"/>
        </w:rPr>
        <w:t xml:space="preserve"> En caso de que el Instituto, considere que subsiste el incumplimiento total o parcial de la resolución, en un plazo no mayor a cinco días naturales posteriores al aviso de incumplimiento al superior jerárquico del servidor público responsable del mismo, se emitirá un acuerdo de incumplimiento, y se informará al </w:t>
      </w:r>
      <w:r w:rsidRPr="002E074E">
        <w:rPr>
          <w:rFonts w:ascii="Arial" w:hAnsi="Arial" w:cs="Arial"/>
          <w:sz w:val="24"/>
          <w:szCs w:val="24"/>
          <w:u w:color="000000"/>
          <w:bdr w:val="nil"/>
          <w:lang w:eastAsia="es-MX"/>
        </w:rPr>
        <w:lastRenderedPageBreak/>
        <w:t>Pleno para que, en su caso, imponga las medidas de apremio o determinaciones que resulten procedentes.</w:t>
      </w:r>
    </w:p>
    <w:p w14:paraId="1413CA6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64781DE" w14:textId="77777777" w:rsidR="00E85802" w:rsidRPr="00F43418"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TÍTULO SEXTO</w:t>
      </w:r>
    </w:p>
    <w:p w14:paraId="104DF5F2" w14:textId="77777777" w:rsidR="00E85802" w:rsidRPr="00F43418"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DE LA INFORMACIÓN CLASIFICADA</w:t>
      </w:r>
    </w:p>
    <w:p w14:paraId="19E105A8" w14:textId="77777777" w:rsidR="00E8580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68A2AF1B" w14:textId="77777777" w:rsidR="00E85802" w:rsidRPr="00F43418"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CAPÍTULO I</w:t>
      </w:r>
    </w:p>
    <w:p w14:paraId="44249E09" w14:textId="77777777" w:rsidR="00E85802" w:rsidRPr="00F43418"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DISPOSICIONES GENERALES</w:t>
      </w:r>
    </w:p>
    <w:p w14:paraId="4BCFA971" w14:textId="77777777" w:rsidR="00E85802" w:rsidRPr="00F43418"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78A43CA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76.</w:t>
      </w:r>
      <w:r w:rsidRPr="00F43418">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El acceso a la información en posesión de las entidades públicas quedará restringido en los casos y en las modalidades que expresamente se señalan en la presente Ley. Las figuras jurídicas de excepción al derecho de acceso son las de información reservada y confidencial.</w:t>
      </w:r>
    </w:p>
    <w:p w14:paraId="4FB79C0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1E9656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titulares de las Áreas de los Sujetos Obligados serán los responsables de clasificar la información de conformidad con lo dispuesto en esta Ley.</w:t>
      </w:r>
    </w:p>
    <w:p w14:paraId="01E4D8D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360A76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77.</w:t>
      </w:r>
      <w:r w:rsidRPr="002E074E">
        <w:rPr>
          <w:rFonts w:ascii="Arial" w:hAnsi="Arial" w:cs="Arial"/>
          <w:sz w:val="24"/>
          <w:szCs w:val="24"/>
          <w:u w:color="000000"/>
          <w:bdr w:val="nil"/>
          <w:lang w:eastAsia="es-MX"/>
        </w:rPr>
        <w:t xml:space="preserve"> El Área responsable de archivar y resguardar la información clasificada como reservada, la mantendrá restringida hasta por un lapso de cinco años.</w:t>
      </w:r>
    </w:p>
    <w:p w14:paraId="6E03ADD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E31905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Excepcionalmente, los Sujetos Obligados, con la aprobación de su Comité de Transparencia, podrán ampliar el periodo de reserva hasta por un plazo de cinco años adicionales, siempre y cuando justifiquen que subsisten las causas que dieron origen a su clasificación, mediante la aplicación de una prueba de daño y avalado por el Instituto.</w:t>
      </w:r>
    </w:p>
    <w:p w14:paraId="6E7A1A5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D50535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78.</w:t>
      </w:r>
      <w:r w:rsidRPr="002E074E">
        <w:rPr>
          <w:rFonts w:ascii="Arial" w:hAnsi="Arial" w:cs="Arial"/>
          <w:sz w:val="24"/>
          <w:szCs w:val="24"/>
          <w:u w:color="000000"/>
          <w:bdr w:val="nil"/>
          <w:lang w:eastAsia="es-MX"/>
        </w:rPr>
        <w:t xml:space="preserve"> Las Áreas de los Sujetos Obligados elaborarán un índice de expedientes clasificados como reservados, que deberá actualizarse semestralmente y publicarse en formatos abiertos, al día siguiente de su elaboración, cada índice contendrá el plazo de reserva, fecha en que se realizó el acto de clasificación, nombre del área que la genera, las partes del documento que se reservan y justificación legal. El catálogo deberá estar a disposición del público.</w:t>
      </w:r>
    </w:p>
    <w:p w14:paraId="6D9925C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74A93C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los casos en que se niegue el acceso a la información, por actualizarse alguno de los supuestos de clasificación, el Comité de Transparencia deberá confirmar, modificar o revocar la decisión.</w:t>
      </w:r>
    </w:p>
    <w:p w14:paraId="748814B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Para motivar la clasificación de la información y la ampliación del plazo de reserva, se deberán señalar las razones, motivos o circunstancias especiales que llevaron al sujeto obligado a concluir que el caso particular se ajusta al supuesto previsto por la norma legal invocada como fundamento. Además, los Sujetos Obligados deberá en todo momento aplicar una prueba de daño.</w:t>
      </w:r>
    </w:p>
    <w:p w14:paraId="238FED8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398124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79.</w:t>
      </w:r>
      <w:r w:rsidRPr="002E074E">
        <w:rPr>
          <w:rFonts w:ascii="Arial" w:hAnsi="Arial" w:cs="Arial"/>
          <w:sz w:val="24"/>
          <w:szCs w:val="24"/>
          <w:u w:color="000000"/>
          <w:bdr w:val="nil"/>
          <w:lang w:eastAsia="es-MX"/>
        </w:rPr>
        <w:t xml:space="preserve"> El acuerdo que determina la clasificación de la información como reservada deberá señalar el plazo de reserva, la autoridad y el servidor público responsable de su resguardo, la parte o las partes del documento que se reserva, la fuente y el archivo donde radica la información, así como los fundamentos jurídicos y las motivaciones que justifiquen la reserva.</w:t>
      </w:r>
    </w:p>
    <w:p w14:paraId="5C03385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296358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80.</w:t>
      </w:r>
      <w:r w:rsidRPr="002E074E">
        <w:rPr>
          <w:rFonts w:ascii="Arial" w:hAnsi="Arial" w:cs="Arial"/>
          <w:sz w:val="24"/>
          <w:szCs w:val="24"/>
          <w:u w:color="000000"/>
          <w:bdr w:val="nil"/>
          <w:lang w:eastAsia="es-MX"/>
        </w:rPr>
        <w:t xml:space="preserve"> En la aplicación de la prueba de daño, los Sujetos Obligados deberá justificar que:</w:t>
      </w:r>
    </w:p>
    <w:p w14:paraId="5791666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0121A6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 divulgación de la información representa un riesgo real, demostrable e identificable de perjuicio significativo al interés público o a la seguridad pública;</w:t>
      </w:r>
    </w:p>
    <w:p w14:paraId="518C50A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La limitación se adecúa al principio de proporcionalidad y representa el medio menos restrictivo disponible para evitar el perjuicio;</w:t>
      </w:r>
    </w:p>
    <w:p w14:paraId="0EFF62C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riesgo y los daños que potencialmente se deriven del conocimiento de la información clasificada sean superiores al interés de facilitar al público el acceso a la información reservada, y</w:t>
      </w:r>
    </w:p>
    <w:p w14:paraId="767D254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La información solicitada se refiere a alguna de las hipótesis señaladas en la ley.</w:t>
      </w:r>
    </w:p>
    <w:p w14:paraId="3A0D50A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BDC8B7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carga de la prueba para justificar toda negativa de acceso a la información, por actualizar cualquier de los supuestos de reserva previstos, corresponderá a los Sujetos Obligados.</w:t>
      </w:r>
    </w:p>
    <w:p w14:paraId="46DEF17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1E1C2D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81.</w:t>
      </w:r>
      <w:r w:rsidRPr="002E074E">
        <w:rPr>
          <w:rFonts w:ascii="Arial" w:hAnsi="Arial" w:cs="Arial"/>
          <w:sz w:val="24"/>
          <w:szCs w:val="24"/>
          <w:u w:color="000000"/>
          <w:bdr w:val="nil"/>
          <w:lang w:eastAsia="es-MX"/>
        </w:rPr>
        <w:t xml:space="preserve"> La clasificación de la información se llevará a cabo en el momento en que:</w:t>
      </w:r>
    </w:p>
    <w:p w14:paraId="7CFC617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933BDE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Se reciba una solicitud de acceso a la información;</w:t>
      </w:r>
    </w:p>
    <w:p w14:paraId="51098FF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Se determine mediante resolución de autoridad competente, o</w:t>
      </w:r>
    </w:p>
    <w:p w14:paraId="76E4444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Se generen versiones públicas para dar cumplimiento a las obligaciones de Transparencia previstas en esta Ley.</w:t>
      </w:r>
    </w:p>
    <w:p w14:paraId="317FC65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Los Sujetos Obligados no podrán emitir acuerdos de carácter general ni particular que clasifiquen documentos o información como reservada. En ningún caso se podrán clasificar Documentos antes de que se genere la información.</w:t>
      </w:r>
    </w:p>
    <w:p w14:paraId="0DE8A29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0B344E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clasificación de información reservada se realizará conforme a un análisis caso por caso, mediante la aplicación de la prueba de daño.</w:t>
      </w:r>
    </w:p>
    <w:p w14:paraId="6867A3B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B00941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Documentos clasificados parcial o totalmente deberán llevar una leyenda que indique tal carácter, la fecha de la clasificación, el fundamento legal y, en su caso, el periodo de reserva.</w:t>
      </w:r>
    </w:p>
    <w:p w14:paraId="103E5D2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3883B2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82.</w:t>
      </w:r>
      <w:r w:rsidRPr="002E074E">
        <w:rPr>
          <w:rFonts w:ascii="Arial" w:hAnsi="Arial" w:cs="Arial"/>
          <w:sz w:val="24"/>
          <w:szCs w:val="24"/>
          <w:u w:color="000000"/>
          <w:bdr w:val="nil"/>
          <w:lang w:eastAsia="es-MX"/>
        </w:rPr>
        <w:t xml:space="preserve"> Las Áreas podrán entregar documentos que contengan información reservada o confidencial, siempre que los documentos en que conste la información permitan eliminar las partes o secciones clasificadas.</w:t>
      </w:r>
    </w:p>
    <w:p w14:paraId="39ED4209" w14:textId="77777777" w:rsidR="00E4569F" w:rsidRPr="002E074E" w:rsidRDefault="00E4569F"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C52BB9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Sujetos Obligados deberán observar los lineamientos generales que emita el Sistema Nacional en materia de clasificación de la información reservada y confidencial y, para la elaboración de versiones públicas.</w:t>
      </w:r>
    </w:p>
    <w:p w14:paraId="6CF3309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9C45E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Los documentos clasificados serán debidamente custodiados y conservados, conforme a la normativa aplicable.</w:t>
      </w:r>
    </w:p>
    <w:p w14:paraId="2E31C2F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610A19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83.</w:t>
      </w:r>
      <w:r w:rsidRPr="002E074E">
        <w:rPr>
          <w:rFonts w:ascii="Arial" w:hAnsi="Arial" w:cs="Arial"/>
          <w:sz w:val="24"/>
          <w:szCs w:val="24"/>
          <w:u w:color="000000"/>
          <w:bdr w:val="nil"/>
          <w:lang w:eastAsia="es-MX"/>
        </w:rPr>
        <w:t xml:space="preserve"> La información contenida en las obligaciones de transparencia no podrá omitirse en las versiones públicas.</w:t>
      </w:r>
    </w:p>
    <w:p w14:paraId="071327D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4EC6017" w14:textId="77777777" w:rsidR="00E85802" w:rsidRPr="00F43418"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F43418">
        <w:rPr>
          <w:rFonts w:ascii="Arial" w:hAnsi="Arial" w:cs="Arial"/>
          <w:b/>
          <w:bCs/>
          <w:sz w:val="24"/>
          <w:szCs w:val="24"/>
          <w:u w:color="000000"/>
          <w:bdr w:val="nil"/>
          <w:lang w:eastAsia="es-MX"/>
        </w:rPr>
        <w:t>CAPÍTULO II</w:t>
      </w:r>
    </w:p>
    <w:p w14:paraId="7B2F04EE" w14:textId="77777777" w:rsidR="00E85802" w:rsidRPr="00F43418" w:rsidRDefault="00E85802" w:rsidP="00E85802">
      <w:pPr>
        <w:pBdr>
          <w:top w:val="nil"/>
          <w:left w:val="nil"/>
          <w:bottom w:val="nil"/>
          <w:right w:val="nil"/>
          <w:between w:val="nil"/>
          <w:bar w:val="nil"/>
        </w:pBdr>
        <w:spacing w:after="0" w:line="240" w:lineRule="auto"/>
        <w:jc w:val="center"/>
        <w:rPr>
          <w:rFonts w:ascii="Arial" w:hAnsi="Arial" w:cs="Arial"/>
          <w:b/>
          <w:sz w:val="24"/>
          <w:szCs w:val="24"/>
          <w:u w:color="000000"/>
          <w:bdr w:val="nil"/>
          <w:lang w:eastAsia="es-MX"/>
        </w:rPr>
      </w:pPr>
      <w:r w:rsidRPr="00F43418">
        <w:rPr>
          <w:rFonts w:ascii="Arial" w:hAnsi="Arial" w:cs="Arial"/>
          <w:b/>
          <w:bCs/>
          <w:sz w:val="24"/>
          <w:szCs w:val="24"/>
          <w:u w:color="000000"/>
          <w:bdr w:val="nil"/>
          <w:lang w:eastAsia="es-MX"/>
        </w:rPr>
        <w:t>DE LA INFORMACIÓN RESERVADA</w:t>
      </w:r>
    </w:p>
    <w:p w14:paraId="55DD0F9A" w14:textId="77777777" w:rsidR="00E85802" w:rsidRPr="00F43418"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1CAC6B9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F43418">
        <w:rPr>
          <w:rFonts w:ascii="Arial" w:hAnsi="Arial" w:cs="Arial"/>
          <w:b/>
          <w:bCs/>
          <w:sz w:val="24"/>
          <w:szCs w:val="24"/>
          <w:u w:color="000000"/>
          <w:bdr w:val="nil"/>
          <w:lang w:eastAsia="es-MX"/>
        </w:rPr>
        <w:t>Artículo 84.</w:t>
      </w:r>
      <w:r w:rsidRPr="00F43418">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Como información reservada podrá clasificarse aquella cuya publicación:</w:t>
      </w:r>
    </w:p>
    <w:p w14:paraId="1DA7BE1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7337FF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Obstruya las actividades de verificación, inspección y auditoría relativas al cumplimiento de las leyes, o afecte la recaudación de contribuciones;</w:t>
      </w:r>
    </w:p>
    <w:p w14:paraId="1DC044B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Obstruya la prevención o persecución de los delitos;</w:t>
      </w:r>
    </w:p>
    <w:p w14:paraId="741956E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III. La que contenga las opiniones, recomendaciones o puntos de vista que formen parte del proceso deliberativo de los servidores públicos, hasta en tanto no sea adoptada la decisión definitiva, la cual deberá estar documentada;</w:t>
      </w:r>
    </w:p>
    <w:p w14:paraId="0B28CD9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Obstruya los procedimientos para fincar responsabilidad a los servidores públicos, en tanto no se haya dictado la resolución administrativa;</w:t>
      </w:r>
    </w:p>
    <w:p w14:paraId="3764E24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Afecte los derechos del debido proceso;</w:t>
      </w:r>
    </w:p>
    <w:p w14:paraId="3449299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Vulnere la conducción de los expedientes judiciales o de los procedimientos administrativos seguidos en forma de juicio, en tanto no hayan causado estado; </w:t>
      </w:r>
    </w:p>
    <w:p w14:paraId="75CC518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Se encuentre contenida dentro de las investigaciones de hechos que la ley señale como delitos y se tramiten ante el Ministerio Público, y</w:t>
      </w:r>
    </w:p>
    <w:p w14:paraId="3A5F93B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Las que por disposición expresa de una ley tengan tal carácter, siempre que sean acordes con las bases, principios y disposiciones establecidos en esta Ley y no la contravengan; así como las previstas en Tratados Internacionales.</w:t>
      </w:r>
    </w:p>
    <w:p w14:paraId="7FB187E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8B76EE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85.</w:t>
      </w:r>
      <w:r w:rsidRPr="002E074E">
        <w:rPr>
          <w:rFonts w:ascii="Arial" w:hAnsi="Arial" w:cs="Arial"/>
          <w:sz w:val="24"/>
          <w:szCs w:val="24"/>
          <w:u w:color="000000"/>
          <w:bdr w:val="nil"/>
          <w:lang w:eastAsia="es-MX"/>
        </w:rPr>
        <w:t xml:space="preserve"> Las causales de reserva previstas en el artículo anterior se deberán fundar y motivar, a través de la aplicación de la prueba de daño a la que se hace referencia en el presente Título. </w:t>
      </w:r>
    </w:p>
    <w:p w14:paraId="1026609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B5393E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86.</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No podrá invocarse el carácter de reservado cuando:</w:t>
      </w:r>
    </w:p>
    <w:p w14:paraId="405E277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71BCCB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Se trate de violaciones graves de derechos humanos o delitos de lesa humanidad; </w:t>
      </w:r>
    </w:p>
    <w:p w14:paraId="0088E72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Se trate de información relacionada con actos de corrupción de acuerdo con las leyes aplicables, y</w:t>
      </w:r>
    </w:p>
    <w:p w14:paraId="1F180A2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Cuando se trate de lo previsto en el Titulo Quinto, Capítulos II y III de la presente Ley.</w:t>
      </w:r>
    </w:p>
    <w:p w14:paraId="784A24E0"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4F759F3F"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CAPÍTULO III</w:t>
      </w:r>
    </w:p>
    <w:p w14:paraId="6E6B0B7A"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DE LA INFORMACIÓN CONFIDENCIAL</w:t>
      </w:r>
    </w:p>
    <w:p w14:paraId="1BA42E20" w14:textId="77777777" w:rsidR="00E85802" w:rsidRPr="0065295C"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048A3D3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87.</w:t>
      </w:r>
      <w:r w:rsidRPr="0065295C">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Se considera información confidencial la que contiene datos personales concernientes a una persona identificada o identificable.</w:t>
      </w:r>
    </w:p>
    <w:p w14:paraId="465A6A2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5A71C7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confidencial no estará sujeta a temporalidad alguna y sólo podrán tener acceso a ella los titulares de la misma, sus representantes y los servidores públicos facultados para ello.</w:t>
      </w:r>
    </w:p>
    <w:p w14:paraId="5CA1FAC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4D1E6FF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3BA687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Asimismo, será información confidencial aquella que presenten los particulares a los Sujetos Obligados, siempre que tengan el derecho a ello de conformidad con lo dispuesto por las Leyes o los Tratados Internacionales.</w:t>
      </w:r>
    </w:p>
    <w:p w14:paraId="4146823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FF0BF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88.</w:t>
      </w:r>
      <w:r w:rsidRPr="002E074E">
        <w:rPr>
          <w:rFonts w:ascii="Arial" w:hAnsi="Arial" w:cs="Arial"/>
          <w:sz w:val="24"/>
          <w:szCs w:val="24"/>
          <w:u w:color="000000"/>
          <w:bdr w:val="nil"/>
          <w:lang w:eastAsia="es-MX"/>
        </w:rPr>
        <w:t xml:space="preserve"> Los Sujetos Obligados que se constituyan como fideicomitentes, fideicomisarios o fiduciarios en fideicomisos que involucren recursos públicos, no podrán clasificar, por ese sólo supuesto, la información relativa al ejercicio de éstos, como secreto bancario o fiduciario, sin perjuicio de las demás causales de clasificación que prevé la presente Ley.</w:t>
      </w:r>
    </w:p>
    <w:p w14:paraId="7B79F5B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0D44D2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89.</w:t>
      </w:r>
      <w:r w:rsidRPr="002E074E">
        <w:rPr>
          <w:rFonts w:ascii="Arial" w:hAnsi="Arial" w:cs="Arial"/>
          <w:sz w:val="24"/>
          <w:szCs w:val="24"/>
          <w:u w:color="000000"/>
          <w:bdr w:val="nil"/>
          <w:lang w:eastAsia="es-MX"/>
        </w:rPr>
        <w:t xml:space="preserve"> Los Sujetos Obligados que se constituyan como usuarios o como institución bancaria, en operaciones que involucren recursos públicos, no podrán clasificar, por ese sólo supuesto, la información relativa al ejercicio de éstos, como secreto bancario, sin perjuicio de las demás causales de clasificación que prevé la presente Ley.</w:t>
      </w:r>
    </w:p>
    <w:p w14:paraId="3BA11C7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ECD399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90.</w:t>
      </w:r>
      <w:r w:rsidRPr="002E074E">
        <w:rPr>
          <w:rFonts w:ascii="Arial" w:hAnsi="Arial" w:cs="Arial"/>
          <w:sz w:val="24"/>
          <w:szCs w:val="24"/>
          <w:u w:color="000000"/>
          <w:bdr w:val="nil"/>
          <w:lang w:eastAsia="es-MX"/>
        </w:rPr>
        <w:t xml:space="preserve"> Los Sujetos Obligados que se constituyan como contribuyentes o como autoridades en materia tributaria, no podrán clasificar la información relativa al ejercicio de recursos públicos como secreto fiscal.</w:t>
      </w:r>
    </w:p>
    <w:p w14:paraId="122789E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1E275A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91.</w:t>
      </w:r>
      <w:r w:rsidRPr="002E074E">
        <w:rPr>
          <w:rFonts w:ascii="Arial" w:hAnsi="Arial" w:cs="Arial"/>
          <w:sz w:val="24"/>
          <w:szCs w:val="24"/>
          <w:u w:color="000000"/>
          <w:bdr w:val="nil"/>
          <w:lang w:eastAsia="es-MX"/>
        </w:rPr>
        <w:t xml:space="preserve"> Las entidades y servidores públicos están obligados a resguardar toda la información de carácter personal y no podrán entregarla a quien la solicite, salvo autorización expresa de la persona directamente afectada o de su representante legal.</w:t>
      </w:r>
    </w:p>
    <w:p w14:paraId="37C76DF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8D36E3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92.</w:t>
      </w:r>
      <w:r w:rsidRPr="002E074E">
        <w:rPr>
          <w:rFonts w:ascii="Arial" w:hAnsi="Arial" w:cs="Arial"/>
          <w:sz w:val="24"/>
          <w:szCs w:val="24"/>
          <w:u w:color="000000"/>
          <w:bdr w:val="nil"/>
          <w:lang w:eastAsia="es-MX"/>
        </w:rPr>
        <w:t xml:space="preserve"> Ninguna persona está obligada a dar información que pudiera propiciar expresión de discriminación e intolerancia sobre su persona, honor, reputación y dignidad, salvo que la información sea estrictamente necesaria para proteger su vida y seguridad personal.</w:t>
      </w:r>
    </w:p>
    <w:p w14:paraId="6237C54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1098803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lastRenderedPageBreak/>
        <w:t>Artículo 93.</w:t>
      </w:r>
      <w:r w:rsidRPr="002E074E">
        <w:rPr>
          <w:rFonts w:ascii="Arial" w:hAnsi="Arial" w:cs="Arial"/>
          <w:sz w:val="24"/>
          <w:szCs w:val="24"/>
          <w:u w:color="000000"/>
          <w:bdr w:val="nil"/>
          <w:lang w:eastAsia="es-MX"/>
        </w:rPr>
        <w:t xml:space="preserve"> Los sistemas de documentación y archivo creados para resguardar datos personales deberán utilizarse exclusivamente para los fines legales y legítimos para los que fueron creados. Las entidades públicas sólo podrán administrar archivos de datos personales estrictamente relacionados con el ejercicio de su competencia.</w:t>
      </w:r>
    </w:p>
    <w:p w14:paraId="457BEA7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DDEB65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administración, procesamiento, actualización y resguardo deberán realizarse con estricto apego a estos fines. Los servidores públicos a cargo están obligados a guardar confidencialidad respecto de la información que manejen. Cualquier violación a este precepto será objeto de responsabilidad de acuerdo con las leyes aplicables.</w:t>
      </w:r>
    </w:p>
    <w:p w14:paraId="2405082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016D25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94.</w:t>
      </w:r>
      <w:r w:rsidRPr="002E074E">
        <w:rPr>
          <w:rFonts w:ascii="Arial" w:hAnsi="Arial" w:cs="Arial"/>
          <w:sz w:val="24"/>
          <w:szCs w:val="24"/>
          <w:u w:color="000000"/>
          <w:bdr w:val="nil"/>
          <w:lang w:eastAsia="es-MX"/>
        </w:rPr>
        <w:t xml:space="preserve"> No se requerirá el consentimiento del titular de la información confidencial cuando:</w:t>
      </w:r>
    </w:p>
    <w:p w14:paraId="3690AF2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79C005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 información se encuentre en registros públicos o fuentes de acceso público;</w:t>
      </w:r>
    </w:p>
    <w:p w14:paraId="66C725D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Por ley tenga el carácter de pública;</w:t>
      </w:r>
    </w:p>
    <w:p w14:paraId="0104519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Exista una orden judicial;</w:t>
      </w:r>
    </w:p>
    <w:p w14:paraId="1DBB2AE8" w14:textId="77777777" w:rsidR="00E85802" w:rsidRPr="00527B94" w:rsidRDefault="00E85802" w:rsidP="00E85802">
      <w:pPr>
        <w:spacing w:after="0" w:line="240" w:lineRule="auto"/>
        <w:ind w:left="284"/>
        <w:jc w:val="both"/>
        <w:rPr>
          <w:rFonts w:ascii="Arial" w:eastAsia="Times New Roman" w:hAnsi="Arial" w:cs="Arial"/>
          <w:bCs/>
          <w:sz w:val="24"/>
          <w:szCs w:val="24"/>
          <w:lang w:val="es-ES" w:eastAsia="es-ES"/>
        </w:rPr>
      </w:pPr>
      <w:r w:rsidRPr="00527B94">
        <w:rPr>
          <w:rFonts w:ascii="Arial" w:eastAsia="Times New Roman" w:hAnsi="Arial" w:cs="Arial"/>
          <w:bCs/>
          <w:sz w:val="24"/>
          <w:szCs w:val="24"/>
          <w:lang w:val="es-ES" w:eastAsia="es-ES"/>
        </w:rPr>
        <w:t>IV. Por razones de seguridad pública y salubridad general, o para proteger los derechos de terceros, se requiera su publicación, o</w:t>
      </w:r>
    </w:p>
    <w:p w14:paraId="3069D55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Cuando se transmita entre Sujetos Obligados, siempre y cuando la información se utilice para el ejercicio de facultades propias de los mismos.</w:t>
      </w:r>
    </w:p>
    <w:p w14:paraId="6729F50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FAB141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Para efectos de la fracción IV del presente artículo, el Instituto deberá aplicar la prueba de interés público. Además, se deberá corroborar una conexión patente entre la información confidencial y un tema de interés público y la proporcionalidad entre la invasión a la intimidad ocasionada por la divulgación de la información confidencial y el interés público de la información.</w:t>
      </w:r>
    </w:p>
    <w:p w14:paraId="712F3542" w14:textId="77777777" w:rsidR="00E85802" w:rsidRPr="00846AFB"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3B1B22EF" w14:textId="77777777" w:rsidR="00E85802" w:rsidRPr="00846AFB"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846AFB">
        <w:rPr>
          <w:rFonts w:ascii="Arial" w:hAnsi="Arial" w:cs="Arial"/>
          <w:b/>
          <w:sz w:val="20"/>
          <w:szCs w:val="20"/>
          <w:u w:color="000000"/>
          <w:bdr w:val="nil"/>
          <w:lang w:eastAsia="es-MX"/>
        </w:rPr>
        <w:t xml:space="preserve">FE DE </w:t>
      </w:r>
      <w:proofErr w:type="gramStart"/>
      <w:r w:rsidRPr="00846AFB">
        <w:rPr>
          <w:rFonts w:ascii="Arial" w:hAnsi="Arial" w:cs="Arial"/>
          <w:b/>
          <w:sz w:val="20"/>
          <w:szCs w:val="20"/>
          <w:u w:color="000000"/>
          <w:bdr w:val="nil"/>
          <w:lang w:eastAsia="es-MX"/>
        </w:rPr>
        <w:t>ERRATAS.-</w:t>
      </w:r>
      <w:proofErr w:type="gramEnd"/>
      <w:r w:rsidRPr="00846AFB">
        <w:rPr>
          <w:rFonts w:ascii="Arial" w:hAnsi="Arial" w:cs="Arial"/>
          <w:sz w:val="20"/>
          <w:szCs w:val="20"/>
          <w:u w:color="000000"/>
          <w:bdr w:val="nil"/>
          <w:lang w:eastAsia="es-MX"/>
        </w:rPr>
        <w:t xml:space="preserve"> Publicada en el Periódico Oficial “Tierra y Libertad”</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No. 5399</w:t>
      </w:r>
      <w:r>
        <w:rPr>
          <w:rFonts w:ascii="Arial" w:hAnsi="Arial" w:cs="Arial"/>
          <w:sz w:val="20"/>
          <w:szCs w:val="20"/>
          <w:u w:color="000000"/>
          <w:bdr w:val="nil"/>
          <w:lang w:eastAsia="es-MX"/>
        </w:rPr>
        <w:t>,</w:t>
      </w:r>
      <w:r w:rsidRPr="00846AFB">
        <w:rPr>
          <w:rFonts w:ascii="Arial" w:hAnsi="Arial" w:cs="Arial"/>
          <w:sz w:val="20"/>
          <w:szCs w:val="20"/>
          <w:u w:color="000000"/>
          <w:bdr w:val="nil"/>
          <w:lang w:eastAsia="es-MX"/>
        </w:rPr>
        <w:t xml:space="preserve"> de fecha 2016/05/25</w:t>
      </w:r>
    </w:p>
    <w:p w14:paraId="1B17EB57" w14:textId="77777777" w:rsidR="00E85802" w:rsidRPr="002E074E" w:rsidRDefault="00E85802" w:rsidP="00E85802">
      <w:pPr>
        <w:pBdr>
          <w:top w:val="nil"/>
          <w:left w:val="nil"/>
          <w:bottom w:val="nil"/>
          <w:right w:val="nil"/>
          <w:between w:val="nil"/>
          <w:bar w:val="nil"/>
        </w:pBdr>
        <w:spacing w:after="0" w:line="240" w:lineRule="auto"/>
        <w:rPr>
          <w:rFonts w:ascii="Arial" w:hAnsi="Arial" w:cs="Arial"/>
          <w:sz w:val="24"/>
          <w:szCs w:val="24"/>
          <w:u w:color="000000"/>
          <w:bdr w:val="nil"/>
          <w:lang w:eastAsia="es-MX"/>
        </w:rPr>
      </w:pPr>
    </w:p>
    <w:p w14:paraId="7FAC2B23"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TÍTULO SÉPTIMO</w:t>
      </w:r>
    </w:p>
    <w:p w14:paraId="0AFFE94F"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DEL PROCEDIMIENTO DE ACCESO A LA INFORMACIÓN</w:t>
      </w:r>
    </w:p>
    <w:p w14:paraId="16A63E77"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02B708A4"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CAPÍTULO I</w:t>
      </w:r>
    </w:p>
    <w:p w14:paraId="42D331E7" w14:textId="77777777" w:rsidR="00E85802" w:rsidRPr="0065295C"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65295C">
        <w:rPr>
          <w:rFonts w:ascii="Arial" w:hAnsi="Arial" w:cs="Arial"/>
          <w:b/>
          <w:bCs/>
          <w:sz w:val="24"/>
          <w:szCs w:val="24"/>
          <w:u w:color="000000"/>
          <w:bdr w:val="nil"/>
          <w:lang w:eastAsia="es-MX"/>
        </w:rPr>
        <w:t>DEL PROCEDIMIENTO DE ACCESO A LA INFORMACIÓN</w:t>
      </w:r>
    </w:p>
    <w:p w14:paraId="7747A3B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lastRenderedPageBreak/>
        <w:t>Artículo 95.</w:t>
      </w:r>
      <w:r w:rsidRPr="002E074E">
        <w:rPr>
          <w:rFonts w:ascii="Arial" w:hAnsi="Arial" w:cs="Arial"/>
          <w:sz w:val="24"/>
          <w:szCs w:val="24"/>
          <w:u w:color="000000"/>
          <w:bdr w:val="nil"/>
          <w:lang w:eastAsia="es-MX"/>
        </w:rPr>
        <w:t xml:space="preserve"> Cualquier persona por sí misma, o a través de su representante, podrá presentar solicitud de acceso a información ante la Unidad de Transparencia, a través de la Plataforma Electrónica correspondiente, en la oficina u oficinas designadas para ello, vía correo electrónico, correo postal, mensajería, telégrafo, verbalmente o cualquier medio aprobado por el Sistema Nacional.</w:t>
      </w:r>
    </w:p>
    <w:p w14:paraId="126076E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9BD4FA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Unidad de Transparencia de los Sujetos Obligados deberá garantizar las medidas y condiciones de accesibilidad para que toda persona pueda ejercer el derecho de acceso a la información.</w:t>
      </w:r>
    </w:p>
    <w:p w14:paraId="0EA5C98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93136A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5295C">
        <w:rPr>
          <w:rFonts w:ascii="Arial" w:hAnsi="Arial" w:cs="Arial"/>
          <w:b/>
          <w:bCs/>
          <w:sz w:val="24"/>
          <w:szCs w:val="24"/>
          <w:u w:color="000000"/>
          <w:bdr w:val="nil"/>
          <w:lang w:eastAsia="es-MX"/>
        </w:rPr>
        <w:t>Artículo 96.</w:t>
      </w:r>
      <w:r w:rsidRPr="002E074E">
        <w:rPr>
          <w:rFonts w:ascii="Arial" w:hAnsi="Arial" w:cs="Arial"/>
          <w:sz w:val="24"/>
          <w:szCs w:val="24"/>
          <w:u w:color="000000"/>
          <w:bdr w:val="nil"/>
          <w:lang w:eastAsia="es-MX"/>
        </w:rPr>
        <w:t xml:space="preserve"> Tratándose de solicitudes de acceso a información formuladas mediante la Plataforma </w:t>
      </w:r>
      <w:r w:rsidRPr="0065295C">
        <w:rPr>
          <w:rFonts w:ascii="Arial" w:hAnsi="Arial" w:cs="Arial"/>
          <w:sz w:val="24"/>
          <w:szCs w:val="24"/>
          <w:u w:color="000000"/>
          <w:bdr w:val="nil"/>
          <w:lang w:eastAsia="es-MX"/>
        </w:rPr>
        <w:t xml:space="preserve">Electrónica correspondiente, se asignará automáticamente un número de folio, con el que los solicitantes podrán dar seguimiento a sus </w:t>
      </w:r>
      <w:r w:rsidRPr="002E074E">
        <w:rPr>
          <w:rFonts w:ascii="Arial" w:hAnsi="Arial" w:cs="Arial"/>
          <w:sz w:val="24"/>
          <w:szCs w:val="24"/>
          <w:u w:color="000000"/>
          <w:bdr w:val="nil"/>
          <w:lang w:eastAsia="es-MX"/>
        </w:rPr>
        <w:t>requerimientos. En los demás casos, la Unidad de Transparencia tendrá que registrar y capturar la solicitud de acceso en la Plataforma Electrónica y deberá enviar el acuse de recibo al solicitante, en el que se indique la fecha de recepción, el folio que corresponda y los plazos de respuesta aplicables.</w:t>
      </w:r>
    </w:p>
    <w:p w14:paraId="400A931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0BA8F5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97.</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Para presentar una solicitud no se podrán exigir mayores requisitos que los siguientes:</w:t>
      </w:r>
    </w:p>
    <w:p w14:paraId="40199AE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1576BE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Nombre o, en su caso, los datos generales de su representante;</w:t>
      </w:r>
    </w:p>
    <w:p w14:paraId="01D33F4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Domicilio o medio para recibir notificaciones;</w:t>
      </w:r>
    </w:p>
    <w:p w14:paraId="20306AA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La descripción de la información solicitada;</w:t>
      </w:r>
    </w:p>
    <w:p w14:paraId="7C776D6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Cualquier otro dato que facilite su búsqueda y eventual localización, y</w:t>
      </w:r>
    </w:p>
    <w:p w14:paraId="0CAD84E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14:paraId="77D1570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504AD1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su caso, el solicitante señalará el formato accesible o la lengua indígena en la que se requiera la información de acuerdo a lo señalado en la presente Ley.</w:t>
      </w:r>
    </w:p>
    <w:p w14:paraId="0F70330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E6262D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de las fracciones I y IV serán proporcionadas por el solicitante de manera opcional y en ningún caso podrá ser un requisito indispensable para la procedencia de la solicitud.</w:t>
      </w:r>
    </w:p>
    <w:p w14:paraId="6533763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lastRenderedPageBreak/>
        <w:t>Artículo 98.</w:t>
      </w:r>
      <w:r w:rsidRPr="002E074E">
        <w:rPr>
          <w:rFonts w:ascii="Arial" w:hAnsi="Arial" w:cs="Arial"/>
          <w:sz w:val="24"/>
          <w:szCs w:val="24"/>
          <w:u w:color="000000"/>
          <w:bdr w:val="nil"/>
          <w:lang w:eastAsia="es-MX"/>
        </w:rPr>
        <w:t xml:space="preserve"> Cuando el particular presente su solicitud a través de la Plataforma Electrónica, se entenderá que acepta que las notificaciones le sean efectuadas por dicho sistema, salvo que señale un medio distinto para efectos de las notificaciones.</w:t>
      </w:r>
    </w:p>
    <w:p w14:paraId="024BC1E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F5B6AA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solicitudes recibidas en otros medios, en las que los solicitantes no proporcionen un domicilio o medio para recibir la información o, en su defecto, no haya sido posible practicar la notificación, se notificará por estrados en la oficina de la Unidad de Transparencia.</w:t>
      </w:r>
    </w:p>
    <w:p w14:paraId="611856E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DCB980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99.</w:t>
      </w:r>
      <w:r w:rsidRPr="002E074E">
        <w:rPr>
          <w:rFonts w:ascii="Arial" w:hAnsi="Arial" w:cs="Arial"/>
          <w:sz w:val="24"/>
          <w:szCs w:val="24"/>
          <w:u w:color="000000"/>
          <w:bdr w:val="nil"/>
          <w:lang w:eastAsia="es-MX"/>
        </w:rPr>
        <w:t xml:space="preserve"> De manera excepcional, cuando, de forma fundada y motivada, así lo determine el Sujeto Obligado, en aquellos casos en que la información solicitada se encuentre dispersa en diversos documentos y por ello implique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 clasificada.</w:t>
      </w:r>
    </w:p>
    <w:p w14:paraId="06949E9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E94AA2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todo caso se facilitará su copia simple o certificada, así como su reproducción por cualquier medio disponible en las instalaciones del sujeto obligado o que en su caso aporte el solicitante.</w:t>
      </w:r>
    </w:p>
    <w:p w14:paraId="78503C7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92D423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100.</w:t>
      </w:r>
      <w:r w:rsidRPr="002E074E">
        <w:rPr>
          <w:rFonts w:ascii="Arial" w:hAnsi="Arial" w:cs="Arial"/>
          <w:sz w:val="24"/>
          <w:szCs w:val="24"/>
          <w:u w:color="000000"/>
          <w:bdr w:val="nil"/>
          <w:lang w:eastAsia="es-MX"/>
        </w:rPr>
        <w:t xml:space="preserve"> La Unidad de Transparencia podrá requerir al solicitante por una sola vez, en un plazo no mayor de cinco días hábiles, contados a partir de la presentación de la solicitud, si requiere completar, corregir o ampliar los datos de la solicitud. El solicitante tendrá un término de diez días hábiles para solventar dicho requerimiento.</w:t>
      </w:r>
    </w:p>
    <w:p w14:paraId="18529B8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425C94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Este requerimiento interrumpirá el plazo de respuesta establecido en el artículo 103 de la presente Ley, por lo que comenzará a computarse nuevamente al día siguiente del desahogo por parte del particular. En este caso, el Sujeto Obligado atenderá la solicitud en los términos en que fue desahogado el requerimiento de información adicional.</w:t>
      </w:r>
    </w:p>
    <w:p w14:paraId="28A6D7C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3B1796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La solicitud se tendrá por no presentada cuando los solicitantes no atiendan el requerimiento de información adicional. En el caso de requerimientos parciales no </w:t>
      </w:r>
      <w:r w:rsidRPr="002E074E">
        <w:rPr>
          <w:rFonts w:ascii="Arial" w:hAnsi="Arial" w:cs="Arial"/>
          <w:sz w:val="24"/>
          <w:szCs w:val="24"/>
          <w:u w:color="000000"/>
          <w:bdr w:val="nil"/>
          <w:lang w:eastAsia="es-MX"/>
        </w:rPr>
        <w:lastRenderedPageBreak/>
        <w:t>desahogados, se tendrá por presentada la solicitud por lo que respecta a los contenidos de información que no formaron parte del requerimiento.</w:t>
      </w:r>
    </w:p>
    <w:p w14:paraId="6A8AA15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35D0A7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101.</w:t>
      </w:r>
      <w:r w:rsidRPr="002E074E">
        <w:rPr>
          <w:rFonts w:ascii="Arial" w:hAnsi="Arial" w:cs="Arial"/>
          <w:sz w:val="24"/>
          <w:szCs w:val="24"/>
          <w:u w:color="000000"/>
          <w:bdr w:val="nil"/>
          <w:lang w:eastAsia="es-MX"/>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que el lugar donde se encuentre, así lo permita.</w:t>
      </w:r>
    </w:p>
    <w:p w14:paraId="036701A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1B6FA4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el caso de que la información solicitada consista en bases de datos se deberá privilegiar la entrega de la misma en Formatos Abiertos.</w:t>
      </w:r>
    </w:p>
    <w:p w14:paraId="03AD09E8"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2061CA0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102.</w:t>
      </w:r>
      <w:r w:rsidRPr="002E074E">
        <w:rPr>
          <w:rFonts w:ascii="Arial" w:hAnsi="Arial" w:cs="Arial"/>
          <w:sz w:val="24"/>
          <w:szCs w:val="24"/>
          <w:u w:color="000000"/>
          <w:bdr w:val="nil"/>
          <w:lang w:eastAsia="es-MX"/>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dos días hábiles.</w:t>
      </w:r>
    </w:p>
    <w:p w14:paraId="628FF94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85A31D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103.</w:t>
      </w:r>
      <w:r w:rsidRPr="002E074E">
        <w:rPr>
          <w:rFonts w:ascii="Arial" w:hAnsi="Arial" w:cs="Arial"/>
          <w:sz w:val="24"/>
          <w:szCs w:val="24"/>
          <w:u w:color="000000"/>
          <w:bdr w:val="nil"/>
          <w:lang w:eastAsia="es-MX"/>
        </w:rPr>
        <w:t xml:space="preserve"> Las solicitudes de información deben ser respondidas en un plazo máximo de diez días hábiles.</w:t>
      </w:r>
    </w:p>
    <w:p w14:paraId="4736EF4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1865F6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Excepcionalmente, el párrafo anterior podrá ampliarse hasta por diez días más, siempre y cuando existan razones fundadas y motivadas, en este caso, la Unidad de Transparencia, deberá notificar la prórroga al solicitante, antes del vencimiento del primer término otorgado.</w:t>
      </w:r>
    </w:p>
    <w:p w14:paraId="3B066F0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0DEF28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Unidad de Transparencia deberá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14:paraId="040B16B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8730CA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152B45">
        <w:rPr>
          <w:rFonts w:ascii="Arial" w:hAnsi="Arial" w:cs="Arial"/>
          <w:b/>
          <w:bCs/>
          <w:sz w:val="24"/>
          <w:szCs w:val="24"/>
          <w:u w:color="000000"/>
          <w:bdr w:val="nil"/>
          <w:lang w:eastAsia="es-MX"/>
        </w:rPr>
        <w:t>Artículo 104.</w:t>
      </w:r>
      <w:r w:rsidRPr="002E074E">
        <w:rPr>
          <w:rFonts w:ascii="Arial" w:hAnsi="Arial" w:cs="Arial"/>
          <w:sz w:val="24"/>
          <w:szCs w:val="24"/>
          <w:u w:color="000000"/>
          <w:bdr w:val="nil"/>
          <w:lang w:eastAsia="es-MX"/>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14:paraId="484F74A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En cualquier caso, se deberá fundar y motivar la necesidad de ofrecer otras modalidades.</w:t>
      </w:r>
    </w:p>
    <w:p w14:paraId="2B3BD81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1DE53A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105.</w:t>
      </w:r>
      <w:r w:rsidRPr="002E074E">
        <w:rPr>
          <w:rFonts w:ascii="Arial" w:hAnsi="Arial" w:cs="Arial"/>
          <w:sz w:val="24"/>
          <w:szCs w:val="24"/>
          <w:u w:color="000000"/>
          <w:bdr w:val="nil"/>
          <w:lang w:eastAsia="es-MX"/>
        </w:rPr>
        <w:t xml:space="preserve"> Si transcurridos diez días hábiles de presentada la solicitud de información, la Unidad de Transparencia no respondiere al interesado, se le tendrá respondiendo afirmativamente y la autoridad estará obligada a entregar la información de manera gratuita en un plazo perentorio de diez días naturales.</w:t>
      </w:r>
    </w:p>
    <w:p w14:paraId="393D2C2D"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AD49EC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106.</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 Unidad de Transparencia tendrá disponible la información solicitada, durante un plazo de sesenta días hábiles, contados a partir de que el solicitante hubiere realizado, en su caso, el pago respectivo, el cual deberá efectuarse en un plazo no mayor a treinta días.</w:t>
      </w:r>
    </w:p>
    <w:p w14:paraId="49DB14E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4BCA93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Transcurridos dichos plazos, los Sujetos Obligados darán por concluida la solicitud y procederán, de ser el caso, a la destrucción del material en el que se reprodujo la información.</w:t>
      </w:r>
    </w:p>
    <w:p w14:paraId="04B4AD0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25DA2F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107.</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De no corresponder la solicitud a la Unidad de Transparencia, ésta deberá orientar a los solicitantes para canalizar la solicitud de manera debida al sujeto obligado que corresponda.</w:t>
      </w:r>
    </w:p>
    <w:p w14:paraId="7D414F31"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D8801D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108.</w:t>
      </w:r>
      <w:r w:rsidRPr="002E074E">
        <w:rPr>
          <w:rFonts w:ascii="Arial" w:hAnsi="Arial" w:cs="Arial"/>
          <w:sz w:val="24"/>
          <w:szCs w:val="24"/>
          <w:u w:color="000000"/>
          <w:bdr w:val="nil"/>
          <w:lang w:eastAsia="es-MX"/>
        </w:rPr>
        <w:t xml:space="preserve"> En caso de que los Sujetos Obligados consideren que los Documentos o la información deban ser clasificados, se sujetará a lo siguiente:</w:t>
      </w:r>
    </w:p>
    <w:p w14:paraId="75BC46E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2F856D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Área deberá remitir la solicitud, así como un escrito en el que funde y motive la clasificación al Comité de Transparencia, mismo que deberá resolver para:</w:t>
      </w:r>
    </w:p>
    <w:p w14:paraId="1C296BC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C185EB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a) Confirmar la clasificación;</w:t>
      </w:r>
    </w:p>
    <w:p w14:paraId="4DF5D5B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b) Modificar la clasificación y otorgar total o parcialmente el acceso a la información, o</w:t>
      </w:r>
    </w:p>
    <w:p w14:paraId="6B149B7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 Revocar la clasificación y conceder el acceso a la información.</w:t>
      </w:r>
    </w:p>
    <w:p w14:paraId="109D9AE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94C1B8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Comité de Transparencia podrá tener acceso a la información que esté en poder del Área correspondiente, de la cual se haya solicitado su clasificación.</w:t>
      </w:r>
    </w:p>
    <w:p w14:paraId="47C9102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77DFA5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La resolución del Comité de Transparencia será notificada al interesado en el plazo de respuesta a la solicitud que establece el artículo 103 de la presente Ley.</w:t>
      </w:r>
    </w:p>
    <w:p w14:paraId="06F9C8B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79566DA"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CAPÍTULO II</w:t>
      </w:r>
    </w:p>
    <w:p w14:paraId="79977B47"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 LAS CUOTAS DE ACCESO</w:t>
      </w:r>
    </w:p>
    <w:p w14:paraId="43615AF0" w14:textId="77777777" w:rsidR="00E85802" w:rsidRPr="00823F12"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08EA84A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109.</w:t>
      </w:r>
      <w:r w:rsidRPr="00823F12">
        <w:rPr>
          <w:rFonts w:ascii="Arial" w:hAnsi="Arial" w:cs="Arial"/>
          <w:b/>
          <w:sz w:val="24"/>
          <w:szCs w:val="24"/>
          <w:u w:color="000000"/>
          <w:bdr w:val="nil"/>
          <w:lang w:eastAsia="es-MX"/>
        </w:rPr>
        <w:t xml:space="preserve"> </w:t>
      </w:r>
      <w:r w:rsidRPr="002E074E">
        <w:rPr>
          <w:rFonts w:ascii="Arial" w:hAnsi="Arial" w:cs="Arial"/>
          <w:sz w:val="24"/>
          <w:szCs w:val="24"/>
          <w:u w:color="000000"/>
          <w:bdr w:val="nil"/>
          <w:lang w:eastAsia="es-MX"/>
        </w:rPr>
        <w:t>Los Sujetos Obligados deberán atender el principio de gratuidad para permitir el acceso a la información pública.</w:t>
      </w:r>
    </w:p>
    <w:p w14:paraId="27F0B25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7F7B1F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110.</w:t>
      </w:r>
      <w:r w:rsidRPr="002E074E">
        <w:rPr>
          <w:rFonts w:ascii="Arial" w:hAnsi="Arial" w:cs="Arial"/>
          <w:sz w:val="24"/>
          <w:szCs w:val="24"/>
          <w:u w:color="000000"/>
          <w:bdr w:val="nil"/>
          <w:lang w:eastAsia="es-MX"/>
        </w:rPr>
        <w:t xml:space="preserve"> En caso de existir costos para obtener la información, deberán cubrirse de manera previa a la entrega y no podrán ser superiores a la suma de:</w:t>
      </w:r>
    </w:p>
    <w:p w14:paraId="5473273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0B39A8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costo de los materiales utilizados en la reproducción de la información;</w:t>
      </w:r>
    </w:p>
    <w:p w14:paraId="653C266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El costo de envío, en su caso, y</w:t>
      </w:r>
    </w:p>
    <w:p w14:paraId="4F9B075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pago de la certificación de los Documentos, cuando proceda, en términos de las Leyes correspondientes.</w:t>
      </w:r>
    </w:p>
    <w:p w14:paraId="0974F24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67FD36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información deberá ser entregada sin costo, cuando implique la entrega de no más de veinte hojas simples. La Unidad de Transparencia podrá exceptuar el pago de reproducción y envío atendiendo a las circunstancias socioeconómicas del solicitante.</w:t>
      </w:r>
    </w:p>
    <w:p w14:paraId="50DD098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AC453D8"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TÍTULO OCTAVO</w:t>
      </w:r>
    </w:p>
    <w:p w14:paraId="68D15557"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DEL SISTEMA ESTATAL DE ENCUESTAS Y ANÁLISIS ESTADÍSTICO.</w:t>
      </w:r>
    </w:p>
    <w:p w14:paraId="41C3DC92"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11F1B172"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CAPÍTULO ÚNICO</w:t>
      </w:r>
    </w:p>
    <w:p w14:paraId="0031252E"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 SU FUNCIONAMIENTO</w:t>
      </w:r>
    </w:p>
    <w:p w14:paraId="786C031D" w14:textId="77777777" w:rsidR="00E85802" w:rsidRPr="00823F12"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62C0729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111.</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Sistema Estatal Encuestas y Análisis Estadístico, es una dependencia del Instituto, que tiene por finalidad el estudio sobre la transparencia, la rendición de cuentas y la protección de datos personales de la Entidad, su contexto en el ámbito nacional de la sociedad morelense, su contexto en el ámbito nacional principalmente a través de la investigación mediante encuestas y análisis estadístico para coadyuvar con sus resultados al mejor funcionamiento de las entidades públicas del Estado.</w:t>
      </w:r>
    </w:p>
    <w:p w14:paraId="0BF8C0E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10C502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lastRenderedPageBreak/>
        <w:t>Artículo 112.</w:t>
      </w:r>
      <w:r w:rsidRPr="002E074E">
        <w:rPr>
          <w:rFonts w:ascii="Arial" w:hAnsi="Arial" w:cs="Arial"/>
          <w:sz w:val="24"/>
          <w:szCs w:val="24"/>
          <w:u w:color="000000"/>
          <w:bdr w:val="nil"/>
          <w:lang w:eastAsia="es-MX"/>
        </w:rPr>
        <w:t xml:space="preserve"> El Sistema Estatal de Encuestas y Análisis Estadístico, garantizará la plena transparencia y acceso público a los resultados de la actividad científica que desarrolle. Actuará conforme a las normas del estado, y en particular, a los principios de objetividad y neutralidad en su actuación, igualdad de acceso a sus datos y respeto al secreto estadístico y a los derechos de los ciudadanos. </w:t>
      </w:r>
    </w:p>
    <w:p w14:paraId="306BCEE5"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32ED022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113.</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Las investigaciones que se realicen a través de encuestas y análisis estadístico, se guiarán por la transparencia y quienes las realicen responderán por la correcta utilización de la información para el cumplimiento estricto de los objetivos previstos por el Instituto y por la protección de la intimidad de los encuestados.</w:t>
      </w:r>
    </w:p>
    <w:p w14:paraId="49787FA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2EC5788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114.</w:t>
      </w:r>
      <w:r w:rsidRPr="002E074E">
        <w:rPr>
          <w:rFonts w:ascii="Arial" w:hAnsi="Arial" w:cs="Arial"/>
          <w:sz w:val="24"/>
          <w:szCs w:val="24"/>
          <w:u w:color="000000"/>
          <w:bdr w:val="nil"/>
          <w:lang w:eastAsia="es-MX"/>
        </w:rPr>
        <w:t xml:space="preserve"> El Sistema Estatal Encuestas y Análisis Estadístico, permitirá en todo momento el acceso a su banco de datos a los Sujetos Obligados para el cumplimiento de sus funciones, así como a cualquier ciudadano, siempre y cuando la información no se considere reservada o confidencial. </w:t>
      </w:r>
    </w:p>
    <w:p w14:paraId="68AD33CC"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7A8FCC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115.</w:t>
      </w:r>
      <w:r w:rsidRPr="002E074E">
        <w:rPr>
          <w:rFonts w:ascii="Arial" w:hAnsi="Arial" w:cs="Arial"/>
          <w:sz w:val="24"/>
          <w:szCs w:val="24"/>
          <w:u w:color="000000"/>
          <w:bdr w:val="nil"/>
          <w:lang w:eastAsia="es-MX"/>
        </w:rPr>
        <w:t xml:space="preserve"> El Instituto notificará a los titulares de las diversas dependencias cuando alguno de sus integrantes o funcionarios solicite acceso al banco de datos, la información que haya consultado y las razones que el servidor público hubiera expuesto para acceder.</w:t>
      </w:r>
    </w:p>
    <w:p w14:paraId="08F5B50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52DE45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116.</w:t>
      </w:r>
      <w:r w:rsidRPr="002E074E">
        <w:rPr>
          <w:rFonts w:ascii="Arial" w:hAnsi="Arial" w:cs="Arial"/>
          <w:sz w:val="24"/>
          <w:szCs w:val="24"/>
          <w:u w:color="000000"/>
          <w:bdr w:val="nil"/>
          <w:lang w:eastAsia="es-MX"/>
        </w:rPr>
        <w:t xml:space="preserve"> El Instituto determinará las modalidades, metodología, presupuesto y objetivos a alcanzar a través de las investigaciones, estudios, encuestas y análisis estadístico aprobados por el mismo. </w:t>
      </w:r>
    </w:p>
    <w:p w14:paraId="5C9DDCE8" w14:textId="77777777" w:rsidR="00E85802" w:rsidRPr="002E074E" w:rsidRDefault="00E85802" w:rsidP="00E85802">
      <w:pPr>
        <w:pBdr>
          <w:top w:val="nil"/>
          <w:left w:val="nil"/>
          <w:bottom w:val="nil"/>
          <w:right w:val="nil"/>
          <w:between w:val="nil"/>
          <w:bar w:val="nil"/>
        </w:pBdr>
        <w:spacing w:after="0" w:line="240" w:lineRule="auto"/>
        <w:jc w:val="both"/>
        <w:rPr>
          <w:rFonts w:ascii="Arial" w:eastAsia="Arial Narrow" w:hAnsi="Arial" w:cs="Arial"/>
          <w:sz w:val="24"/>
          <w:szCs w:val="24"/>
          <w:u w:color="000000"/>
          <w:bdr w:val="nil"/>
          <w:lang w:eastAsia="es-MX"/>
        </w:rPr>
      </w:pPr>
    </w:p>
    <w:p w14:paraId="2F30A16D"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TÍTULO NOVENO</w:t>
      </w:r>
    </w:p>
    <w:p w14:paraId="77AD90B6"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DE LOS MEDIOS DE IMPUGNACIÓN</w:t>
      </w:r>
    </w:p>
    <w:p w14:paraId="58958635"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7B4A9543"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823F12">
        <w:rPr>
          <w:rFonts w:ascii="Arial" w:hAnsi="Arial" w:cs="Arial"/>
          <w:b/>
          <w:bCs/>
          <w:sz w:val="24"/>
          <w:szCs w:val="24"/>
          <w:u w:color="000000"/>
          <w:bdr w:val="nil"/>
          <w:lang w:eastAsia="es-MX"/>
        </w:rPr>
        <w:t>CAPÍTULO I</w:t>
      </w:r>
    </w:p>
    <w:p w14:paraId="774D2EC3" w14:textId="77777777" w:rsidR="00E85802" w:rsidRPr="00823F12" w:rsidRDefault="00E85802" w:rsidP="00E85802">
      <w:pPr>
        <w:pBdr>
          <w:top w:val="nil"/>
          <w:left w:val="nil"/>
          <w:bottom w:val="nil"/>
          <w:right w:val="nil"/>
          <w:between w:val="nil"/>
          <w:bar w:val="nil"/>
        </w:pBdr>
        <w:spacing w:after="0" w:line="240" w:lineRule="auto"/>
        <w:jc w:val="center"/>
        <w:rPr>
          <w:rFonts w:ascii="Arial" w:hAnsi="Arial" w:cs="Arial"/>
          <w:b/>
          <w:sz w:val="24"/>
          <w:szCs w:val="24"/>
          <w:u w:color="000000"/>
          <w:bdr w:val="nil"/>
          <w:lang w:eastAsia="es-MX"/>
        </w:rPr>
      </w:pPr>
      <w:r w:rsidRPr="00823F12">
        <w:rPr>
          <w:rFonts w:ascii="Arial" w:hAnsi="Arial" w:cs="Arial"/>
          <w:b/>
          <w:bCs/>
          <w:sz w:val="24"/>
          <w:szCs w:val="24"/>
          <w:u w:color="000000"/>
          <w:bdr w:val="nil"/>
          <w:lang w:eastAsia="es-MX"/>
        </w:rPr>
        <w:t>DEL RECURSO DE REVISIÓN ANTE EL INSTITUTO</w:t>
      </w:r>
    </w:p>
    <w:p w14:paraId="6707DFC1" w14:textId="77777777" w:rsidR="00E85802" w:rsidRPr="00823F12"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341FE52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117.</w:t>
      </w:r>
      <w:r w:rsidRPr="002E074E">
        <w:rPr>
          <w:rFonts w:ascii="Arial" w:hAnsi="Arial" w:cs="Arial"/>
          <w:sz w:val="24"/>
          <w:szCs w:val="24"/>
          <w:u w:color="000000"/>
          <w:bdr w:val="nil"/>
          <w:lang w:eastAsia="es-MX"/>
        </w:rPr>
        <w:t xml:space="preserve"> </w:t>
      </w:r>
      <w:r w:rsidRPr="00BA73BF">
        <w:rPr>
          <w:rFonts w:ascii="Arial" w:hAnsi="Arial" w:cs="Arial"/>
          <w:sz w:val="24"/>
          <w:szCs w:val="24"/>
          <w:u w:color="000000"/>
          <w:bdr w:val="nil"/>
          <w:lang w:eastAsia="es-MX"/>
        </w:rPr>
        <w:t>El solicitante podrá interponer, por sí mismo o a través de su representante, ya sea por escrito o por medios electrónicos ante el instituto o ante la unidad de transparencia que haya conocido de la solicitud, el recurso de revisión.</w:t>
      </w:r>
    </w:p>
    <w:p w14:paraId="46A5D9B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39CFF5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En el caso de que se interponga ante la Unidad de Transparencia, ésta deberá remitir el recurso de revisión al Instituto a más tardar al día siguiente de haberlo recibido.</w:t>
      </w:r>
    </w:p>
    <w:p w14:paraId="18FC949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CDDDCA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lo conducente se aplicará de forma supletoria la Ley de Procedimiento Administra</w:t>
      </w:r>
      <w:r>
        <w:rPr>
          <w:rFonts w:ascii="Arial" w:hAnsi="Arial" w:cs="Arial"/>
          <w:sz w:val="24"/>
          <w:szCs w:val="24"/>
          <w:u w:color="000000"/>
          <w:bdr w:val="nil"/>
          <w:lang w:eastAsia="es-MX"/>
        </w:rPr>
        <w:t>tivo para el Estado de Morelos.</w:t>
      </w:r>
    </w:p>
    <w:p w14:paraId="566673B7"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33722227" w14:textId="77777777" w:rsidR="00E85802" w:rsidRPr="00BA73BF"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Reformado el párrafo primero, </w:t>
      </w:r>
      <w:r w:rsidRPr="003F7349">
        <w:rPr>
          <w:rFonts w:ascii="Arial" w:hAnsi="Arial" w:cs="Arial"/>
          <w:sz w:val="20"/>
          <w:szCs w:val="20"/>
          <w:u w:color="000000"/>
          <w:bdr w:val="nil"/>
          <w:lang w:eastAsia="es-MX"/>
        </w:rPr>
        <w:t>por artículo único del Decreto No. 37, publicado en el Periódico Oficial “Tierra y Libertad” No. 6025, de fecha 2021/12/22. Vigencia: 2021/12/23.</w:t>
      </w:r>
      <w:r>
        <w:rPr>
          <w:rFonts w:ascii="Arial" w:hAnsi="Arial" w:cs="Arial"/>
          <w:b/>
          <w:sz w:val="20"/>
          <w:szCs w:val="20"/>
          <w:u w:color="000000"/>
          <w:bdr w:val="nil"/>
          <w:lang w:eastAsia="es-MX"/>
        </w:rPr>
        <w:t xml:space="preserve"> Antes decía:</w:t>
      </w:r>
      <w:r w:rsidRPr="00BA73BF">
        <w:t xml:space="preserve"> </w:t>
      </w:r>
      <w:r w:rsidRPr="00BA73BF">
        <w:rPr>
          <w:rFonts w:ascii="Arial" w:hAnsi="Arial" w:cs="Arial"/>
          <w:sz w:val="20"/>
          <w:szCs w:val="20"/>
          <w:u w:color="000000"/>
          <w:bdr w:val="nil"/>
          <w:lang w:eastAsia="es-MX"/>
        </w:rPr>
        <w:t xml:space="preserve">El solicitante podrá interponer, por sí mismo o a través de su representante, ya sea por escrito o por medios electrónicos ante el Instituto o ante la Unidad de Transparencia que haya conocido de la solicitud, el recurso de revisión, </w:t>
      </w:r>
      <w:r w:rsidRPr="00F723A1">
        <w:rPr>
          <w:rFonts w:ascii="Arial" w:hAnsi="Arial" w:cs="Arial"/>
          <w:i/>
          <w:color w:val="808080"/>
          <w:sz w:val="20"/>
          <w:szCs w:val="20"/>
          <w:u w:color="000000"/>
          <w:bdr w:val="nil"/>
          <w:lang w:eastAsia="es-MX"/>
        </w:rPr>
        <w:t xml:space="preserve">dentro de los treinta días hábiles siguientes a la fecha de la notificación de la respuesta, o del vencimiento del plazo para su notificación. </w:t>
      </w:r>
      <w:r>
        <w:rPr>
          <w:rFonts w:ascii="Arial" w:hAnsi="Arial" w:cs="Arial"/>
          <w:sz w:val="20"/>
          <w:szCs w:val="20"/>
          <w:u w:color="000000"/>
          <w:bdr w:val="nil"/>
          <w:lang w:eastAsia="es-MX"/>
        </w:rPr>
        <w:t>(Porción normativa declarada inválida)</w:t>
      </w:r>
    </w:p>
    <w:p w14:paraId="3C94F082" w14:textId="77777777" w:rsidR="00E85802" w:rsidRPr="00F0336F"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 xml:space="preserve">Mediante resolución del Pleno de la Suprema Corte de Justicia de la Nación con fecha 11 de junio de 2019, dictada en la acción de inconstitucionalidad 38/2016 y su acumulada 39/2016, se declaró la invalidez de la porción normativa “dentro de los treinta días hábiles siguientes a la fecha de la notificación de la respuesta, o del vencimiento del plazo para su notificación. </w:t>
      </w:r>
      <w:r w:rsidRPr="00F0336F">
        <w:rPr>
          <w:rFonts w:ascii="Arial" w:eastAsia="Times New Roman" w:hAnsi="Arial" w:cs="Arial"/>
          <w:bCs/>
          <w:sz w:val="20"/>
          <w:szCs w:val="20"/>
          <w:lang w:val="es-ES" w:eastAsia="es-ES"/>
        </w:rPr>
        <w:t>Sentencia publicada en el Periódico Oficial “Tierra y Libertad” No. 5760 de fecha 2019/11/20.</w:t>
      </w:r>
      <w:r>
        <w:rPr>
          <w:rFonts w:ascii="Arial" w:eastAsia="Times New Roman" w:hAnsi="Arial" w:cs="Arial"/>
          <w:bCs/>
          <w:sz w:val="20"/>
          <w:szCs w:val="20"/>
          <w:lang w:val="es-ES" w:eastAsia="es-ES"/>
        </w:rPr>
        <w:t xml:space="preserve"> </w:t>
      </w:r>
      <w:r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14:paraId="38DB89DD" w14:textId="77777777" w:rsidR="00E85802" w:rsidRPr="00F0336F"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944A69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118.</w:t>
      </w:r>
      <w:r w:rsidRPr="002E074E">
        <w:rPr>
          <w:rFonts w:ascii="Arial" w:hAnsi="Arial" w:cs="Arial"/>
          <w:sz w:val="24"/>
          <w:szCs w:val="24"/>
          <w:u w:color="000000"/>
          <w:bdr w:val="nil"/>
          <w:lang w:eastAsia="es-MX"/>
        </w:rPr>
        <w:t xml:space="preserve"> El recurso de revisión procederá en contra de:  </w:t>
      </w:r>
    </w:p>
    <w:p w14:paraId="39B70D3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E8329E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La clasificación de la información; </w:t>
      </w:r>
    </w:p>
    <w:p w14:paraId="48EBA03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La declaración de inexistencia de información; </w:t>
      </w:r>
    </w:p>
    <w:p w14:paraId="126D5BC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La declaración de incompetencia por el sujeto obligado;  </w:t>
      </w:r>
    </w:p>
    <w:p w14:paraId="0865E0C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La entrega incompleta de la información; </w:t>
      </w:r>
    </w:p>
    <w:p w14:paraId="476D91E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La entrega de información que no corresponda con lo solicitado;  </w:t>
      </w:r>
    </w:p>
    <w:p w14:paraId="51823F2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La falta de respuesta a una solicitud de acceso a la información dentro de los plazos establecidos en la Ley; </w:t>
      </w:r>
    </w:p>
    <w:p w14:paraId="0CBE846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 La notificación, entrega o puesta a disposición de información en una modalidad o formato distinto al solicitado; </w:t>
      </w:r>
    </w:p>
    <w:p w14:paraId="03EA423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VIII. La entrega o puesta a disposición de información en un formato incomprensible o no accesible para el solicitante; </w:t>
      </w:r>
    </w:p>
    <w:p w14:paraId="4CFA961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IX. Los costos o tiempos de entrega de la información;  </w:t>
      </w:r>
    </w:p>
    <w:p w14:paraId="445DAC7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La falta de trámite a una solicitud; </w:t>
      </w:r>
    </w:p>
    <w:p w14:paraId="58AEAB4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 La negativa a permitir la consulta directa de la información;  </w:t>
      </w:r>
    </w:p>
    <w:p w14:paraId="3FED65E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 xml:space="preserve">XII. La falta de respuesta o indebida fundamentación y motivación de la ampliación del plazo a que se refiere el artículo 105 de esta Ley; </w:t>
      </w:r>
    </w:p>
    <w:p w14:paraId="116C62EF" w14:textId="77777777" w:rsidR="00E85802" w:rsidRPr="00D639B3"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XIII. La omisión en la orientación a un trámite específico;</w:t>
      </w:r>
    </w:p>
    <w:p w14:paraId="061C2DE4" w14:textId="77777777" w:rsidR="00E85802" w:rsidRPr="00D639B3"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XIV. La falta, deficiencia o insuficiencia de la fundamentación y motivación en la respuesta, y</w:t>
      </w:r>
    </w:p>
    <w:p w14:paraId="021926C0" w14:textId="77777777" w:rsidR="00E85802"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XV. Las que se deriven de la normativa aplicable.</w:t>
      </w:r>
    </w:p>
    <w:p w14:paraId="19F03997" w14:textId="77777777" w:rsidR="00E85802"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p>
    <w:p w14:paraId="2FDE254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La respuesta que den los sujetos obligados derivada de la resolución a un recurso de revisión que proceda por las causales señaladas en las fracciones III, VI, VIII, IX, X y XI es susceptible de ser impugnada de nueva cuenta mediante recurso de revisión ante el instituto.</w:t>
      </w:r>
    </w:p>
    <w:p w14:paraId="78491A50"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2783632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Adicionada una fracción XIII, recorriéndose en su orden las subsecuentes hasta llegar a la XV y reformado el último párrafo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D639B3">
        <w:rPr>
          <w:rFonts w:ascii="Arial" w:hAnsi="Arial" w:cs="Arial"/>
          <w:sz w:val="20"/>
          <w:szCs w:val="20"/>
          <w:u w:color="000000"/>
          <w:bdr w:val="nil"/>
          <w:lang w:eastAsia="es-MX"/>
        </w:rPr>
        <w:t>La respuesta que den los Sujetos Obligados derivada de la resolución a un recurso de revisión que proceda por las causales señaladas en las fracciones III, VIII, IX, X y XI es susceptible de ser impugnada de nueva cuenta mediante recurso de revisión ante el Instituto.</w:t>
      </w:r>
    </w:p>
    <w:p w14:paraId="767EAA66" w14:textId="77777777" w:rsidR="00E85802" w:rsidRPr="00D639B3"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OBSERVACIÓN </w:t>
      </w:r>
      <w:proofErr w:type="gramStart"/>
      <w:r>
        <w:rPr>
          <w:rFonts w:ascii="Arial" w:hAnsi="Arial" w:cs="Arial"/>
          <w:b/>
          <w:sz w:val="20"/>
          <w:szCs w:val="20"/>
          <w:u w:color="000000"/>
          <w:bdr w:val="nil"/>
          <w:lang w:eastAsia="es-MX"/>
        </w:rPr>
        <w:t>GENERAL.-</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El artículo único del Decreto No. 37 señala la adición de la fracción XIII al artículo 118, sin embargo, dentro del cuerpo del Decreto se prevé una reforma al último párrafo, sin que tal modificación se señale de manera específica en el artículo dispositivo único.</w:t>
      </w:r>
    </w:p>
    <w:p w14:paraId="745BFAD8" w14:textId="77777777" w:rsidR="00E85802" w:rsidRPr="00D639B3"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7B330F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639B3">
        <w:rPr>
          <w:rFonts w:ascii="Arial" w:hAnsi="Arial" w:cs="Arial"/>
          <w:b/>
          <w:bCs/>
          <w:sz w:val="24"/>
          <w:szCs w:val="24"/>
          <w:u w:color="000000"/>
          <w:bdr w:val="nil"/>
          <w:lang w:eastAsia="es-MX"/>
        </w:rPr>
        <w:t>Artículo *119.</w:t>
      </w:r>
      <w:r w:rsidRPr="00D639B3">
        <w:rPr>
          <w:rFonts w:ascii="Arial" w:hAnsi="Arial" w:cs="Arial"/>
          <w:sz w:val="24"/>
          <w:szCs w:val="24"/>
          <w:u w:color="000000"/>
          <w:bdr w:val="nil"/>
          <w:lang w:eastAsia="es-MX"/>
        </w:rPr>
        <w:t xml:space="preserve"> El recurso de revisión deberá </w:t>
      </w:r>
      <w:r w:rsidRPr="002E074E">
        <w:rPr>
          <w:rFonts w:ascii="Arial" w:hAnsi="Arial" w:cs="Arial"/>
          <w:sz w:val="24"/>
          <w:szCs w:val="24"/>
          <w:u w:color="000000"/>
          <w:bdr w:val="nil"/>
          <w:lang w:eastAsia="es-MX"/>
        </w:rPr>
        <w:t xml:space="preserve">contener: </w:t>
      </w:r>
    </w:p>
    <w:p w14:paraId="006A87B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1E5475B" w14:textId="77777777" w:rsidR="00E85802" w:rsidRPr="00B902F4" w:rsidRDefault="00E85802" w:rsidP="00E85802">
      <w:pPr>
        <w:pBdr>
          <w:top w:val="nil"/>
          <w:left w:val="nil"/>
          <w:bottom w:val="nil"/>
          <w:right w:val="nil"/>
          <w:between w:val="nil"/>
          <w:bar w:val="nil"/>
        </w:pBdr>
        <w:spacing w:after="0" w:line="240" w:lineRule="auto"/>
        <w:ind w:left="284"/>
        <w:jc w:val="both"/>
        <w:rPr>
          <w:rFonts w:ascii="Arial" w:eastAsia="Times New Roman" w:hAnsi="Arial" w:cs="Arial"/>
          <w:sz w:val="24"/>
          <w:szCs w:val="24"/>
          <w:u w:color="000000"/>
          <w:bdr w:val="nil"/>
          <w:lang w:val="es-ES_tradnl" w:eastAsia="es-MX"/>
        </w:rPr>
      </w:pPr>
      <w:r w:rsidRPr="00B902F4">
        <w:rPr>
          <w:rFonts w:ascii="Arial" w:eastAsia="Times New Roman" w:hAnsi="Arial" w:cs="Arial"/>
          <w:sz w:val="24"/>
          <w:szCs w:val="24"/>
          <w:u w:color="000000"/>
          <w:bdr w:val="nil"/>
          <w:lang w:val="es-ES_tradnl" w:eastAsia="es-MX"/>
        </w:rPr>
        <w:t>I. El nombre del recurrente o de su representante;</w:t>
      </w:r>
    </w:p>
    <w:p w14:paraId="23EF39A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El sujeto obligado ante la cual se presentó la solicitud; </w:t>
      </w:r>
    </w:p>
    <w:p w14:paraId="2B83F84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Domicilio o medio electrónico para recibir notificaciones, de ser necesario, señalar a la persona que las pueda recibir en su nombre, en caso de presentarlo por escrito;</w:t>
      </w:r>
    </w:p>
    <w:p w14:paraId="00D9736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Nombre del tercero interesado, en su caso;</w:t>
      </w:r>
    </w:p>
    <w:p w14:paraId="312C4AC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El acto que se impugna; </w:t>
      </w:r>
    </w:p>
    <w:p w14:paraId="0B3DCA7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Las razones o motivos de inconformidad;</w:t>
      </w:r>
    </w:p>
    <w:p w14:paraId="5C8DF35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La fecha que le fue notificada la respuesta o tuvo conocimiento del acto impugnado, o de presentación de la solicitud de información, en caso de falta de respuesta;</w:t>
      </w:r>
    </w:p>
    <w:p w14:paraId="4CBDAAA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Firma del recurrente, en caso de presentarlo por escrito, y</w:t>
      </w:r>
    </w:p>
    <w:p w14:paraId="23486BD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 Número de folio de la respuesta de la solicitud de acceso.</w:t>
      </w:r>
    </w:p>
    <w:p w14:paraId="2C5CC54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E0A2AC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En caso de no señalarse medio de notificación alguno se harán en los estrados del Instituto.</w:t>
      </w:r>
    </w:p>
    <w:p w14:paraId="6717441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29D259E" w14:textId="77777777" w:rsidR="00E85802" w:rsidRPr="00B902F4" w:rsidRDefault="00E85802" w:rsidP="00E85802">
      <w:pPr>
        <w:pBdr>
          <w:top w:val="nil"/>
          <w:left w:val="nil"/>
          <w:bottom w:val="nil"/>
          <w:right w:val="nil"/>
          <w:between w:val="nil"/>
          <w:bar w:val="nil"/>
        </w:pBdr>
        <w:spacing w:after="0" w:line="240" w:lineRule="auto"/>
        <w:jc w:val="both"/>
        <w:rPr>
          <w:rFonts w:ascii="Arial" w:eastAsia="Times New Roman" w:hAnsi="Arial" w:cs="Arial"/>
          <w:sz w:val="24"/>
          <w:szCs w:val="24"/>
          <w:u w:color="000000"/>
          <w:bdr w:val="nil"/>
          <w:lang w:val="es-ES_tradnl" w:eastAsia="es-MX"/>
        </w:rPr>
      </w:pPr>
      <w:r w:rsidRPr="00B902F4">
        <w:rPr>
          <w:rFonts w:ascii="Arial" w:eastAsia="Times New Roman" w:hAnsi="Arial" w:cs="Arial"/>
          <w:sz w:val="24"/>
          <w:szCs w:val="24"/>
          <w:u w:color="000000"/>
          <w:bdr w:val="nil"/>
          <w:lang w:val="es-ES_tradnl" w:eastAsia="es-MX"/>
        </w:rPr>
        <w:t>Los requisitos de las fracciones I y VIII serán satisfechos por el solicitante de manera opcional y en ningún caso podrán ser indispensables para la procedencia del recurso de revisión.</w:t>
      </w:r>
    </w:p>
    <w:p w14:paraId="61B8D56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ADF69F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ningún caso será necesario que el recurrente ratifique el recurso de revisión interpuesto.</w:t>
      </w:r>
    </w:p>
    <w:p w14:paraId="37F13D9D" w14:textId="77777777" w:rsidR="00E85802" w:rsidRPr="00CA6966" w:rsidRDefault="00E85802" w:rsidP="00E85802">
      <w:pPr>
        <w:spacing w:after="0" w:line="240" w:lineRule="auto"/>
        <w:jc w:val="both"/>
        <w:rPr>
          <w:rFonts w:ascii="Arial" w:eastAsia="Times New Roman" w:hAnsi="Arial" w:cs="Arial"/>
          <w:b/>
          <w:bCs/>
          <w:sz w:val="20"/>
          <w:szCs w:val="20"/>
          <w:lang w:val="es-ES" w:eastAsia="es-ES"/>
        </w:rPr>
      </w:pPr>
      <w:r w:rsidRPr="00CA6966">
        <w:rPr>
          <w:rFonts w:ascii="Arial" w:eastAsia="Times New Roman" w:hAnsi="Arial" w:cs="Arial"/>
          <w:b/>
          <w:bCs/>
          <w:sz w:val="20"/>
          <w:szCs w:val="20"/>
          <w:lang w:val="es-ES" w:eastAsia="es-ES"/>
        </w:rPr>
        <w:t>NOTAS:</w:t>
      </w:r>
    </w:p>
    <w:p w14:paraId="3CD586CD" w14:textId="77777777" w:rsidR="00E85802" w:rsidRPr="00B902F4"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B902F4">
        <w:rPr>
          <w:rFonts w:ascii="Arial" w:eastAsia="Times New Roman" w:hAnsi="Arial" w:cs="Arial"/>
          <w:b/>
          <w:bCs/>
          <w:sz w:val="20"/>
          <w:szCs w:val="20"/>
          <w:lang w:val="es-ES" w:eastAsia="es-ES"/>
        </w:rPr>
        <w:t xml:space="preserve">REFORMA </w:t>
      </w:r>
      <w:proofErr w:type="gramStart"/>
      <w:r w:rsidRPr="00B902F4">
        <w:rPr>
          <w:rFonts w:ascii="Arial" w:eastAsia="Times New Roman" w:hAnsi="Arial" w:cs="Arial"/>
          <w:b/>
          <w:bCs/>
          <w:sz w:val="20"/>
          <w:szCs w:val="20"/>
          <w:lang w:val="es-ES" w:eastAsia="es-ES"/>
        </w:rPr>
        <w:t>VIGENTE.-</w:t>
      </w:r>
      <w:proofErr w:type="gramEnd"/>
      <w:r w:rsidRPr="00B902F4">
        <w:rPr>
          <w:rFonts w:ascii="Arial" w:eastAsia="Times New Roman" w:hAnsi="Arial" w:cs="Arial"/>
          <w:bCs/>
          <w:sz w:val="20"/>
          <w:szCs w:val="20"/>
          <w:lang w:val="es-ES" w:eastAsia="es-ES"/>
        </w:rPr>
        <w:t xml:space="preserve"> Reformada </w:t>
      </w:r>
      <w:r>
        <w:rPr>
          <w:rFonts w:ascii="Arial" w:eastAsia="Times New Roman" w:hAnsi="Arial" w:cs="Arial"/>
          <w:bCs/>
          <w:sz w:val="20"/>
          <w:szCs w:val="20"/>
          <w:lang w:val="es-ES" w:eastAsia="es-ES"/>
        </w:rPr>
        <w:t xml:space="preserve">la fracción </w:t>
      </w:r>
      <w:r w:rsidRPr="00B902F4">
        <w:rPr>
          <w:rFonts w:ascii="Arial" w:eastAsia="Times New Roman" w:hAnsi="Arial" w:cs="Arial"/>
          <w:bCs/>
          <w:sz w:val="20"/>
          <w:szCs w:val="20"/>
          <w:lang w:val="es-ES" w:eastAsia="es-ES"/>
        </w:rPr>
        <w:t xml:space="preserve">I, por artículo primero </w:t>
      </w:r>
      <w:r>
        <w:rPr>
          <w:rFonts w:ascii="Arial" w:eastAsia="Times New Roman" w:hAnsi="Arial" w:cs="Arial"/>
          <w:bCs/>
          <w:sz w:val="20"/>
          <w:szCs w:val="20"/>
          <w:lang w:val="es-ES" w:eastAsia="es-ES"/>
        </w:rPr>
        <w:t xml:space="preserve">y se adiciona un penúltimo párrafo, por artículo segundo </w:t>
      </w:r>
      <w:r w:rsidRPr="00B902F4">
        <w:rPr>
          <w:rFonts w:ascii="Arial" w:eastAsia="Times New Roman" w:hAnsi="Arial" w:cs="Arial"/>
          <w:bCs/>
          <w:sz w:val="20"/>
          <w:szCs w:val="20"/>
          <w:lang w:val="es-ES" w:eastAsia="es-ES"/>
        </w:rPr>
        <w:t xml:space="preserve">del Decreto No. 1756 publicada en el Periódico Oficial “Tierra y Libertad” No. 5490 de fecha 2017/04/19. Vigencia 2017/04/20. </w:t>
      </w:r>
      <w:r w:rsidRPr="00B902F4">
        <w:rPr>
          <w:rFonts w:ascii="Arial" w:eastAsia="Times New Roman" w:hAnsi="Arial" w:cs="Arial"/>
          <w:b/>
          <w:bCs/>
          <w:sz w:val="20"/>
          <w:szCs w:val="20"/>
          <w:lang w:val="es-ES" w:eastAsia="es-ES"/>
        </w:rPr>
        <w:t>Antes decía:</w:t>
      </w:r>
      <w:r w:rsidRPr="00B902F4">
        <w:rPr>
          <w:rFonts w:ascii="Arial" w:eastAsia="Times New Roman" w:hAnsi="Arial" w:cs="Arial"/>
          <w:bCs/>
          <w:sz w:val="20"/>
          <w:szCs w:val="20"/>
          <w:lang w:val="es-ES" w:eastAsia="es-ES"/>
        </w:rPr>
        <w:t xml:space="preserve"> </w:t>
      </w:r>
      <w:r w:rsidRPr="00B902F4">
        <w:rPr>
          <w:rFonts w:ascii="Arial" w:hAnsi="Arial" w:cs="Arial"/>
          <w:sz w:val="20"/>
          <w:szCs w:val="20"/>
          <w:u w:color="000000"/>
          <w:bdr w:val="nil"/>
          <w:lang w:eastAsia="es-MX"/>
        </w:rPr>
        <w:t xml:space="preserve">I. El nombre del recurrente o de su representante legal; </w:t>
      </w:r>
    </w:p>
    <w:p w14:paraId="66A14D59"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521383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120.</w:t>
      </w:r>
      <w:r w:rsidRPr="002E074E">
        <w:rPr>
          <w:rFonts w:ascii="Arial" w:hAnsi="Arial" w:cs="Arial"/>
          <w:sz w:val="24"/>
          <w:szCs w:val="24"/>
          <w:u w:color="000000"/>
          <w:bdr w:val="nil"/>
          <w:lang w:eastAsia="es-MX"/>
        </w:rPr>
        <w:t xml:space="preserve"> El Instituto subsanará las deficiencias de los recursos interpuestos en un plazo no mayor a 5 días hábiles, al momento de admitir a trámite el recurso de revisión. </w:t>
      </w:r>
    </w:p>
    <w:p w14:paraId="767714A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160807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121.</w:t>
      </w:r>
      <w:r w:rsidRPr="002E074E">
        <w:rPr>
          <w:rFonts w:ascii="Arial" w:hAnsi="Arial" w:cs="Arial"/>
          <w:bCs/>
          <w:sz w:val="24"/>
          <w:szCs w:val="24"/>
          <w:u w:color="000000"/>
          <w:bdr w:val="nil"/>
          <w:lang w:eastAsia="es-MX"/>
        </w:rPr>
        <w:t xml:space="preserve"> </w:t>
      </w:r>
      <w:r w:rsidRPr="00D639B3">
        <w:rPr>
          <w:rFonts w:ascii="Arial" w:hAnsi="Arial" w:cs="Arial"/>
          <w:sz w:val="24"/>
          <w:szCs w:val="24"/>
          <w:u w:color="000000"/>
          <w:bdr w:val="nil"/>
          <w:lang w:eastAsia="es-MX"/>
        </w:rPr>
        <w:t>En caso de que el escrito en el que se presente el recurso no sea lo suficientemente claro para iniciar el procedimiento respectivo, y el instituto no cuente con los elementos necesarios para subsanar la deficiencia, prevendrá al recurrente por única ocasión, a efecto de que en un plazo que no excederá de tres días hábiles, con el objeto de que subsane las omisiones dentro de un plazo que no podrá exceder de cinco días, contados a partir del día siguiente de la notificación de la prevención, con el apercibimiento de que de no cumplir, se desechará el recurso de revisión.</w:t>
      </w:r>
    </w:p>
    <w:p w14:paraId="7E2C625D" w14:textId="77777777" w:rsidR="00E85802" w:rsidRPr="00D639B3"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7C6788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639B3">
        <w:rPr>
          <w:rFonts w:ascii="Arial" w:hAnsi="Arial" w:cs="Arial"/>
          <w:sz w:val="24"/>
          <w:szCs w:val="24"/>
          <w:u w:color="000000"/>
          <w:bdr w:val="nil"/>
          <w:lang w:eastAsia="es-MX"/>
        </w:rPr>
        <w:t>La prevención tendrá el efecto de interrumpir el plazo para resolver el recurso, por lo que comenzará a computarse a partir del día siguiente a su desahogo.</w:t>
      </w:r>
    </w:p>
    <w:p w14:paraId="640ABED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B490CB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No podrá prevenirse por el nombre que proporcione el solicitante.</w:t>
      </w:r>
    </w:p>
    <w:p w14:paraId="0C7A6A15"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4F445CA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Reformado los párrafos primero y segundo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D639B3">
        <w:rPr>
          <w:rFonts w:ascii="Arial" w:hAnsi="Arial" w:cs="Arial"/>
          <w:sz w:val="20"/>
          <w:szCs w:val="20"/>
          <w:u w:color="000000"/>
          <w:bdr w:val="nil"/>
          <w:lang w:eastAsia="es-MX"/>
        </w:rPr>
        <w:t xml:space="preserve">En caso de que el escrito en el que se presente el recurso no sea lo suficientemente claro para iniciar el procedimiento respectivo, y el Instituto no cuente con los elementos necesarios para subsanar la deficiencia, notificará al recurrente la prevención en un plazo </w:t>
      </w:r>
      <w:r w:rsidRPr="00D639B3">
        <w:rPr>
          <w:rFonts w:ascii="Arial" w:hAnsi="Arial" w:cs="Arial"/>
          <w:sz w:val="20"/>
          <w:szCs w:val="20"/>
          <w:u w:color="000000"/>
          <w:bdr w:val="nil"/>
          <w:lang w:eastAsia="es-MX"/>
        </w:rPr>
        <w:lastRenderedPageBreak/>
        <w:t xml:space="preserve">que no excederá de tres días hábiles, con el objeto de que subsane las omisiones dentro de un plazo que no podrá exceder de cinco días, contados a partir del día siguiente de la notificación de la prevención, con el apercibimiento de que de no cumplir, se desechará el recurso de revisión. La prevención tendrá el efecto de interrumpir el plazo para resolver el recurso, </w:t>
      </w:r>
      <w:r w:rsidRPr="00D639B3">
        <w:rPr>
          <w:rFonts w:ascii="Arial" w:hAnsi="Arial" w:cs="Arial"/>
          <w:i/>
          <w:color w:val="808080"/>
          <w:sz w:val="20"/>
          <w:szCs w:val="20"/>
          <w:u w:color="000000"/>
          <w:bdr w:val="nil"/>
          <w:lang w:eastAsia="es-MX"/>
        </w:rPr>
        <w:t>por lo que comenzará a computarse a partir del día siguiente de la admisión</w:t>
      </w:r>
      <w:r>
        <w:rPr>
          <w:rFonts w:ascii="Arial" w:hAnsi="Arial" w:cs="Arial"/>
          <w:sz w:val="20"/>
          <w:szCs w:val="20"/>
          <w:u w:color="000000"/>
          <w:bdr w:val="nil"/>
          <w:lang w:eastAsia="es-MX"/>
        </w:rPr>
        <w:t>. (Porción normativa declarada inválida)</w:t>
      </w:r>
    </w:p>
    <w:p w14:paraId="0CA449C5" w14:textId="77777777" w:rsidR="00E85802" w:rsidRPr="00F0336F"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Mediante resolución del Pleno de la Suprema Corte de Justicia de la Nación con fecha 11 de junio de 2019, dictada en la acción de inconstitucionalidad 38/2016 y su acumulada 39/2016, se declaró la invalidez de</w:t>
      </w:r>
      <w:r>
        <w:rPr>
          <w:rFonts w:ascii="Arial" w:hAnsi="Arial" w:cs="Arial"/>
          <w:sz w:val="20"/>
          <w:szCs w:val="20"/>
          <w:u w:color="000000"/>
          <w:bdr w:val="nil"/>
          <w:lang w:eastAsia="es-MX"/>
        </w:rPr>
        <w:t>l párrafo segundo en su</w:t>
      </w:r>
      <w:r w:rsidRPr="00F0336F">
        <w:rPr>
          <w:rFonts w:ascii="Arial" w:hAnsi="Arial" w:cs="Arial"/>
          <w:sz w:val="20"/>
          <w:szCs w:val="20"/>
          <w:u w:color="000000"/>
          <w:bdr w:val="nil"/>
          <w:lang w:eastAsia="es-MX"/>
        </w:rPr>
        <w:t xml:space="preserve"> porción normativa “</w:t>
      </w:r>
      <w:r>
        <w:rPr>
          <w:rFonts w:ascii="Arial" w:hAnsi="Arial" w:cs="Arial"/>
          <w:sz w:val="20"/>
          <w:szCs w:val="20"/>
          <w:u w:color="000000"/>
          <w:bdr w:val="nil"/>
          <w:lang w:eastAsia="es-MX"/>
        </w:rPr>
        <w:t>por lo que comenzará a computarse a partir del día siguiente de la admisión”</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Pr>
          <w:rFonts w:ascii="Arial" w:eastAsia="Times New Roman" w:hAnsi="Arial" w:cs="Arial"/>
          <w:bCs/>
          <w:sz w:val="20"/>
          <w:szCs w:val="20"/>
          <w:lang w:val="es-ES" w:eastAsia="es-ES"/>
        </w:rPr>
        <w:t xml:space="preserve"> </w:t>
      </w:r>
      <w:r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14:paraId="15AEB3C8" w14:textId="77777777" w:rsidR="00E85802" w:rsidRPr="00B234AD"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14:paraId="6A33AF6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122.</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Los Comisionados deberán excusarse por algún impedimento para conocer de un caso concreto. Las partes en un recurso podrán asimismo recusar con causa a un Comisionado. Corresponderá al Pleno calificar la procedencia de la recusación.</w:t>
      </w:r>
    </w:p>
    <w:p w14:paraId="5BDC377D"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A499E0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ser procedente la excusa, conocerá el comisionado que el Pleno determine.</w:t>
      </w:r>
    </w:p>
    <w:p w14:paraId="6540A12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B722B0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123.</w:t>
      </w:r>
      <w:r w:rsidRPr="002E074E">
        <w:rPr>
          <w:rFonts w:ascii="Arial" w:hAnsi="Arial" w:cs="Arial"/>
          <w:sz w:val="24"/>
          <w:szCs w:val="24"/>
          <w:u w:color="000000"/>
          <w:bdr w:val="nil"/>
          <w:lang w:eastAsia="es-MX"/>
        </w:rPr>
        <w:t xml:space="preserve"> </w:t>
      </w:r>
      <w:r w:rsidRPr="00D639B3">
        <w:rPr>
          <w:rFonts w:ascii="Arial" w:hAnsi="Arial" w:cs="Arial"/>
          <w:sz w:val="24"/>
          <w:szCs w:val="24"/>
          <w:u w:color="000000"/>
          <w:bdr w:val="nil"/>
          <w:lang w:eastAsia="es-MX"/>
        </w:rPr>
        <w:t>El instituto resolverá el recurso de revisión en un plazo que no podrá exceder de cuarenta días hábiles, contados a partir de la admisión del mismo, en los términos que establezca esta ley, plazo que podrá ampliarse por una sola vez y hasta por un periodo de veinte días.</w:t>
      </w:r>
    </w:p>
    <w:p w14:paraId="65E8B22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B079ED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Durante el procedimiento deberá aplicarse la suplencia de la queja a favor del recurrente, sin cambiar los hechos expuestos, asegurándose de que las partes puedan presentar, de manera oral o escrita, los argumentos que funden y motiven sus pretensiones.</w:t>
      </w:r>
    </w:p>
    <w:p w14:paraId="5E65970A"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46AFB">
        <w:rPr>
          <w:rFonts w:ascii="Arial" w:hAnsi="Arial" w:cs="Arial"/>
          <w:b/>
          <w:sz w:val="20"/>
          <w:szCs w:val="20"/>
          <w:u w:color="000000"/>
          <w:bdr w:val="nil"/>
          <w:lang w:eastAsia="es-MX"/>
        </w:rPr>
        <w:t>NOTAS:</w:t>
      </w:r>
    </w:p>
    <w:p w14:paraId="7A603AEA" w14:textId="77777777" w:rsidR="00E85802" w:rsidRPr="00D639B3"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Reformado el párrafo primero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D639B3">
        <w:rPr>
          <w:rFonts w:ascii="Arial" w:hAnsi="Arial" w:cs="Arial"/>
          <w:i/>
          <w:color w:val="808080"/>
          <w:sz w:val="20"/>
          <w:szCs w:val="20"/>
          <w:u w:color="000000"/>
          <w:bdr w:val="nil"/>
          <w:lang w:eastAsia="es-MX"/>
        </w:rPr>
        <w:t xml:space="preserve">El Instituto resolverá el recurso de revisión en un plazo que no podrá exceder de treinta días hábiles, contados a partir de la admisión del mismo, en los términos que establezca esta Ley, plazo que podrá ampliarse por una sola vez y hasta por un periodo de diez </w:t>
      </w:r>
      <w:proofErr w:type="gramStart"/>
      <w:r w:rsidRPr="00D639B3">
        <w:rPr>
          <w:rFonts w:ascii="Arial" w:hAnsi="Arial" w:cs="Arial"/>
          <w:i/>
          <w:color w:val="808080"/>
          <w:sz w:val="20"/>
          <w:szCs w:val="20"/>
          <w:u w:color="000000"/>
          <w:bdr w:val="nil"/>
          <w:lang w:eastAsia="es-MX"/>
        </w:rPr>
        <w:t>días.</w:t>
      </w:r>
      <w:r>
        <w:rPr>
          <w:rFonts w:ascii="Arial" w:hAnsi="Arial" w:cs="Arial"/>
          <w:sz w:val="20"/>
          <w:szCs w:val="20"/>
          <w:u w:color="000000"/>
          <w:bdr w:val="nil"/>
          <w:lang w:eastAsia="es-MX"/>
        </w:rPr>
        <w:t>(</w:t>
      </w:r>
      <w:proofErr w:type="gramEnd"/>
      <w:r>
        <w:rPr>
          <w:rFonts w:ascii="Arial" w:hAnsi="Arial" w:cs="Arial"/>
          <w:sz w:val="20"/>
          <w:szCs w:val="20"/>
          <w:u w:color="000000"/>
          <w:bdr w:val="nil"/>
          <w:lang w:eastAsia="es-MX"/>
        </w:rPr>
        <w:t>Porción normativa declarada inválida)</w:t>
      </w:r>
    </w:p>
    <w:p w14:paraId="58C10C81" w14:textId="77777777" w:rsidR="00E85802" w:rsidRPr="00F0336F"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Mediante resolución del Pleno de la Suprema Corte de Justicia de la Nación con fecha 11 de junio de 2019, dictada en la acción de inconstitucionalidad 38/2016 y su acumulada 39/2016, se declaró la invalidez de</w:t>
      </w:r>
      <w:r>
        <w:rPr>
          <w:rFonts w:ascii="Arial" w:hAnsi="Arial" w:cs="Arial"/>
          <w:sz w:val="20"/>
          <w:szCs w:val="20"/>
          <w:u w:color="000000"/>
          <w:bdr w:val="nil"/>
          <w:lang w:eastAsia="es-MX"/>
        </w:rPr>
        <w:t>l párrafo primero.</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 xml:space="preserve">Sentencia publicada en el </w:t>
      </w:r>
      <w:r w:rsidRPr="00F0336F">
        <w:rPr>
          <w:rFonts w:ascii="Arial" w:eastAsia="Times New Roman" w:hAnsi="Arial" w:cs="Arial"/>
          <w:bCs/>
          <w:sz w:val="20"/>
          <w:szCs w:val="20"/>
          <w:lang w:val="es-ES" w:eastAsia="es-ES"/>
        </w:rPr>
        <w:lastRenderedPageBreak/>
        <w:t>Periódico Oficial “Tierra y Libertad” No. 5760 de fecha 2019/11/20.</w:t>
      </w:r>
      <w:r>
        <w:rPr>
          <w:rFonts w:ascii="Arial" w:eastAsia="Times New Roman" w:hAnsi="Arial" w:cs="Arial"/>
          <w:bCs/>
          <w:sz w:val="20"/>
          <w:szCs w:val="20"/>
          <w:lang w:val="es-ES" w:eastAsia="es-ES"/>
        </w:rPr>
        <w:t xml:space="preserve"> </w:t>
      </w:r>
      <w:r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14:paraId="0109A77B" w14:textId="77777777" w:rsidR="00E85802" w:rsidRPr="003135AA"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14:paraId="6A6ABB6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823F12">
        <w:rPr>
          <w:rFonts w:ascii="Arial" w:hAnsi="Arial" w:cs="Arial"/>
          <w:b/>
          <w:bCs/>
          <w:sz w:val="24"/>
          <w:szCs w:val="24"/>
          <w:u w:color="000000"/>
          <w:bdr w:val="nil"/>
          <w:lang w:eastAsia="es-MX"/>
        </w:rPr>
        <w:t>Artículo 124.</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En todo momento, los Comisionados deberán tener acceso a la información clasificada para determinar su naturaleza según se requiera. El acceso se dará de conformidad con la normatividad previamente establecida por los Sujetos Obligados para el resguardo o salvaguarda de la información.</w:t>
      </w:r>
    </w:p>
    <w:p w14:paraId="1BA42E38"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48DEA7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Artículo 125.</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 información reservada o confidencial que, en su caso, sea consultada por los Comisionados, por resultar indispensable para resolver el asunto, deberá ser mantenida con ese carácter y no deberá estar disponible en el Expediente, salvo en los casos en los que sobreviniera la desclasificación de dicha información, y continuará bajo el resguardo del Sujeto Obligado en el que originalmente se encontraba.</w:t>
      </w:r>
    </w:p>
    <w:p w14:paraId="5367D18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0DF32F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23F12">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823F12">
        <w:rPr>
          <w:rFonts w:ascii="Arial" w:hAnsi="Arial" w:cs="Arial"/>
          <w:b/>
          <w:bCs/>
          <w:sz w:val="24"/>
          <w:szCs w:val="24"/>
          <w:u w:color="000000"/>
          <w:bdr w:val="nil"/>
          <w:lang w:eastAsia="es-MX"/>
        </w:rPr>
        <w:t>126.</w:t>
      </w:r>
      <w:r w:rsidRPr="002E074E">
        <w:rPr>
          <w:rFonts w:ascii="Arial" w:hAnsi="Arial" w:cs="Arial"/>
          <w:sz w:val="24"/>
          <w:szCs w:val="24"/>
          <w:u w:color="000000"/>
          <w:bdr w:val="nil"/>
          <w:lang w:eastAsia="es-MX"/>
        </w:rPr>
        <w:t xml:space="preserve"> </w:t>
      </w:r>
      <w:r w:rsidRPr="005E54C7">
        <w:rPr>
          <w:rFonts w:ascii="Arial" w:hAnsi="Arial" w:cs="Arial"/>
          <w:sz w:val="24"/>
          <w:szCs w:val="24"/>
          <w:u w:color="000000"/>
          <w:bdr w:val="nil"/>
          <w:lang w:eastAsia="es-MX"/>
        </w:rPr>
        <w:t>La resolución del instituto deberá emitirse en escrito fundado y motivado y remitirse a la autoridad responsable, quien deberá acatar la resolución en un plazo no mayor de tres días.</w:t>
      </w:r>
    </w:p>
    <w:p w14:paraId="1DB3FE29"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D2A341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Al resolver el recurso de revisión deberá aplicar una prueba de interés público con base en elementos de idoneidad, necesidad y proporcionalidad cuando exista una colisión de derechos.</w:t>
      </w:r>
    </w:p>
    <w:p w14:paraId="771D8EAD"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3F77CC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Para estos efectos, se entenderá por:</w:t>
      </w:r>
    </w:p>
    <w:p w14:paraId="0879E656"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7862C23" w14:textId="77777777" w:rsidR="00E85802" w:rsidRPr="005E54C7"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I. Idoneidad: La legitimidad del derecho adoptado como preferente, que sea el adecuado para el logro de un fin constitucionalmente válido o apto para conseguir el fin pretendido;</w:t>
      </w:r>
    </w:p>
    <w:p w14:paraId="01580BB7" w14:textId="77777777" w:rsidR="00E85802" w:rsidRPr="005E54C7"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II. Necesidad: La falta de un medio alternativo menos lesivo a la apertura de la información, para satisfacer el interés público, y</w:t>
      </w:r>
    </w:p>
    <w:p w14:paraId="29C62C85" w14:textId="77777777" w:rsidR="00E85802" w:rsidRPr="005E54C7"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III. Proporcionalidad: El equilibrio entre perjuicio y beneficio a favor del interés público, a fin de que la decisión tomada represente un beneficio mayor al perjuicio que podría causar a la población.</w:t>
      </w:r>
    </w:p>
    <w:p w14:paraId="32A6B745" w14:textId="77777777" w:rsidR="00E85802"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5E54C7">
        <w:rPr>
          <w:rFonts w:ascii="Arial" w:hAnsi="Arial" w:cs="Arial"/>
          <w:sz w:val="24"/>
          <w:szCs w:val="24"/>
          <w:u w:color="000000"/>
          <w:bdr w:val="nil"/>
          <w:lang w:eastAsia="es-MX"/>
        </w:rPr>
        <w:t>En los casos en que la prueba de interés público se aplique respecto de datos personales de un particular, éste deberá ser llamado como tercero interesado dentro del recurso de revisión.</w:t>
      </w:r>
    </w:p>
    <w:p w14:paraId="45D82F3C"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5E54C7">
        <w:rPr>
          <w:rFonts w:ascii="Arial" w:hAnsi="Arial" w:cs="Arial"/>
          <w:sz w:val="24"/>
          <w:szCs w:val="24"/>
          <w:u w:color="000000"/>
          <w:bdr w:val="nil"/>
          <w:lang w:eastAsia="es-MX"/>
        </w:rPr>
        <w:lastRenderedPageBreak/>
        <w:t>En la resolución que emita el instituto se especificará que ésta puede ser impugnada por los particulares ante el Poder Judicial de la Federación.</w:t>
      </w:r>
    </w:p>
    <w:p w14:paraId="1198EBC3"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p>
    <w:p w14:paraId="32995EF3"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NOTAS:</w:t>
      </w:r>
    </w:p>
    <w:p w14:paraId="40DC5237"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Reformado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Antes decía:</w:t>
      </w:r>
      <w:r w:rsidRPr="005E54C7">
        <w:rPr>
          <w:rFonts w:ascii="Arial" w:hAnsi="Arial" w:cs="Arial"/>
          <w:sz w:val="24"/>
          <w:szCs w:val="24"/>
          <w:u w:color="000000"/>
          <w:bdr w:val="nil"/>
          <w:lang w:eastAsia="es-MX"/>
        </w:rPr>
        <w:t xml:space="preserve"> </w:t>
      </w:r>
      <w:r w:rsidRPr="005E54C7">
        <w:rPr>
          <w:rFonts w:ascii="Arial" w:hAnsi="Arial" w:cs="Arial"/>
          <w:sz w:val="20"/>
          <w:szCs w:val="20"/>
          <w:u w:color="000000"/>
          <w:bdr w:val="nil"/>
          <w:lang w:eastAsia="es-MX"/>
        </w:rPr>
        <w:t xml:space="preserve">La resolución del Instituto deberá emitirse en escrito fundado y motivado y remitirse a la autoridad responsable, </w:t>
      </w:r>
      <w:r w:rsidRPr="005E54C7">
        <w:rPr>
          <w:rFonts w:ascii="Arial" w:hAnsi="Arial" w:cs="Arial"/>
          <w:i/>
          <w:color w:val="808080"/>
          <w:sz w:val="20"/>
          <w:szCs w:val="20"/>
          <w:u w:color="000000"/>
          <w:bdr w:val="nil"/>
          <w:lang w:eastAsia="es-MX"/>
        </w:rPr>
        <w:t>quien deberá acatar la resolución en un plazo no mayor de cinco días hábiles</w:t>
      </w:r>
      <w:r w:rsidRPr="005E54C7">
        <w:rPr>
          <w:rFonts w:ascii="Arial" w:hAnsi="Arial" w:cs="Arial"/>
          <w:sz w:val="20"/>
          <w:szCs w:val="20"/>
          <w:u w:color="000000"/>
          <w:bdr w:val="nil"/>
          <w:lang w:eastAsia="es-MX"/>
        </w:rPr>
        <w:t xml:space="preserve">. </w:t>
      </w:r>
      <w:r>
        <w:rPr>
          <w:rFonts w:ascii="Arial" w:hAnsi="Arial" w:cs="Arial"/>
          <w:sz w:val="20"/>
          <w:szCs w:val="20"/>
          <w:u w:color="000000"/>
          <w:bdr w:val="nil"/>
          <w:lang w:eastAsia="es-MX"/>
        </w:rPr>
        <w:t>(Porción normativa declarada inválida)</w:t>
      </w:r>
    </w:p>
    <w:p w14:paraId="5F4ADBD3"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Al resolver el recurso de revisión deberá aplicar una prueba de interés público con base en elementos de idoneidad, necesidad y proporcionalidad cuando exista una colisión de derechos.</w:t>
      </w:r>
    </w:p>
    <w:p w14:paraId="55E0114E"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Para estos efectos, se entenderá por:  </w:t>
      </w:r>
    </w:p>
    <w:p w14:paraId="1004CD82"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I. Idoneidad: La legitimidad del derecho adoptado como preferente, que sea el adecuado para el logro de un fin constitucionalmente válido o apto para conseguir el fin pretendido; </w:t>
      </w:r>
    </w:p>
    <w:p w14:paraId="234CA47C"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II. Necesidad: La falta de un medio alternativo menos lesivo a la apertura de la información, para satisfacer el interés público, y </w:t>
      </w:r>
    </w:p>
    <w:p w14:paraId="4E4EDB9F"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III. Proporcionalidad: El equilibrio entre perjuicio y beneficio a favor del interés público, a fin de que la decisión tomada represente un beneficio mayor al perjuicio que podría causar a la población.  </w:t>
      </w:r>
    </w:p>
    <w:p w14:paraId="424C53E7"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 xml:space="preserve">En los casos en que la prueba de interés público se aplique respecto de datos personales de un particular, éste deberá ser llamado como tercero interesado dentro del recurso de revisión. </w:t>
      </w:r>
    </w:p>
    <w:p w14:paraId="053BA967"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i/>
          <w:color w:val="808080"/>
          <w:sz w:val="20"/>
          <w:szCs w:val="20"/>
          <w:u w:color="000000"/>
          <w:bdr w:val="nil"/>
          <w:lang w:eastAsia="es-MX"/>
        </w:rPr>
        <w:t>El organismo garante, al resolver el recurso de revisión, podrá excepcionalmente divulgar los datos personales, siempre que realice una valoración y 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w:t>
      </w:r>
      <w:r>
        <w:rPr>
          <w:rFonts w:ascii="Arial" w:hAnsi="Arial" w:cs="Arial"/>
          <w:i/>
          <w:color w:val="808080"/>
          <w:sz w:val="20"/>
          <w:szCs w:val="20"/>
          <w:u w:color="000000"/>
          <w:bdr w:val="nil"/>
          <w:lang w:eastAsia="es-MX"/>
        </w:rPr>
        <w:t xml:space="preserve">s intereses de los particulares </w:t>
      </w:r>
      <w:r>
        <w:rPr>
          <w:rFonts w:ascii="Arial" w:hAnsi="Arial" w:cs="Arial"/>
          <w:sz w:val="20"/>
          <w:szCs w:val="20"/>
          <w:u w:color="000000"/>
          <w:bdr w:val="nil"/>
          <w:lang w:eastAsia="es-MX"/>
        </w:rPr>
        <w:t>(Porción normativa declarada inválida)</w:t>
      </w:r>
    </w:p>
    <w:p w14:paraId="5CDE77C8" w14:textId="77777777" w:rsidR="00E85802" w:rsidRPr="005E54C7"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E54C7">
        <w:rPr>
          <w:rFonts w:ascii="Arial" w:hAnsi="Arial" w:cs="Arial"/>
          <w:sz w:val="20"/>
          <w:szCs w:val="20"/>
          <w:u w:color="000000"/>
          <w:bdr w:val="nil"/>
          <w:lang w:eastAsia="es-MX"/>
        </w:rPr>
        <w:t>En la resolución que emita el Instituto se especificará que ésta puede ser impugnada por los particulares ante el Poder Judicial de la Federación.</w:t>
      </w:r>
    </w:p>
    <w:p w14:paraId="5DA629AB" w14:textId="77777777" w:rsidR="00E85802"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Mediante resolución del Pleno de la Suprema Corte de Justicia de la Nación con fecha 11 de junio de 2019, dictada en la acción de inconstitucionalidad 38/2016 y su acumulada 39/2016, se declaró la invalidez de</w:t>
      </w:r>
      <w:r>
        <w:rPr>
          <w:rFonts w:ascii="Arial" w:hAnsi="Arial" w:cs="Arial"/>
          <w:sz w:val="20"/>
          <w:szCs w:val="20"/>
          <w:u w:color="000000"/>
          <w:bdr w:val="nil"/>
          <w:lang w:eastAsia="es-MX"/>
        </w:rPr>
        <w:t>l párrafo primero en su porción normativa “quien deberá acatar la resolución en un plazo no mayor de cinco días hábiles” y cuarto, en su porción normativa “</w:t>
      </w:r>
      <w:r w:rsidRPr="003135AA">
        <w:rPr>
          <w:rFonts w:ascii="Arial" w:hAnsi="Arial" w:cs="Arial"/>
          <w:sz w:val="20"/>
          <w:szCs w:val="20"/>
          <w:u w:color="000000"/>
          <w:bdr w:val="nil"/>
          <w:lang w:eastAsia="es-MX"/>
        </w:rPr>
        <w:t>El organismo garante, al resolver el recurso de revisión, podrá excepcionalmente divulgar los datos personales, siempre que realice una valoración y emita una resolución debidamente fundada y motivada. En caso de determinarse la publicidad de la información, la resolución deberá explicitar las razones por las que se afirma que los beneficios sociales de divulgar la información serán mayores a la eventual afectación de los intereses de los particulares.</w:t>
      </w:r>
      <w:r>
        <w:rPr>
          <w:rFonts w:ascii="Arial" w:hAnsi="Arial" w:cs="Arial"/>
          <w:sz w:val="20"/>
          <w:szCs w:val="20"/>
          <w:u w:color="000000"/>
          <w:bdr w:val="nil"/>
          <w:lang w:eastAsia="es-MX"/>
        </w:rPr>
        <w:t>”.</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Pr>
          <w:rFonts w:ascii="Arial" w:eastAsia="Times New Roman" w:hAnsi="Arial" w:cs="Arial"/>
          <w:bCs/>
          <w:sz w:val="20"/>
          <w:szCs w:val="20"/>
          <w:lang w:val="es-ES" w:eastAsia="es-ES"/>
        </w:rPr>
        <w:t xml:space="preserve"> </w:t>
      </w:r>
      <w:r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14:paraId="4A99622F" w14:textId="77777777" w:rsidR="00E85802" w:rsidRPr="006F12D8"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OBSERVACIÓN </w:t>
      </w:r>
      <w:proofErr w:type="gramStart"/>
      <w:r>
        <w:rPr>
          <w:rFonts w:ascii="Arial" w:eastAsia="Times New Roman" w:hAnsi="Arial" w:cs="Arial"/>
          <w:b/>
          <w:bCs/>
          <w:sz w:val="20"/>
          <w:szCs w:val="20"/>
          <w:lang w:val="es-ES" w:eastAsia="es-ES"/>
        </w:rPr>
        <w:t>GENERAL.-</w:t>
      </w:r>
      <w:proofErr w:type="gramEnd"/>
      <w:r>
        <w:rPr>
          <w:rFonts w:ascii="Arial" w:eastAsia="Times New Roman" w:hAnsi="Arial" w:cs="Arial"/>
          <w:b/>
          <w:bCs/>
          <w:sz w:val="20"/>
          <w:szCs w:val="20"/>
          <w:lang w:val="es-ES" w:eastAsia="es-ES"/>
        </w:rPr>
        <w:t xml:space="preserve"> </w:t>
      </w:r>
      <w:r>
        <w:rPr>
          <w:rFonts w:ascii="Arial" w:eastAsia="Times New Roman" w:hAnsi="Arial" w:cs="Arial"/>
          <w:bCs/>
          <w:sz w:val="20"/>
          <w:szCs w:val="20"/>
          <w:lang w:val="es-ES" w:eastAsia="es-ES"/>
        </w:rPr>
        <w:t>La presente sentencia de la acción de inconstitucionalidad 38/2016 y su acumulada 39/2016, hacen referencia a la invalidez del párrafo cuarto, sin embargo, atendiendo al punto resolutivo quinto y a la lectura del texto de la ley que nos ocupa, la porción normativa que se invalida corresponde al párrafo quinto.</w:t>
      </w:r>
    </w:p>
    <w:p w14:paraId="50B9835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6507A">
        <w:rPr>
          <w:rFonts w:ascii="Arial" w:hAnsi="Arial" w:cs="Arial"/>
          <w:b/>
          <w:sz w:val="24"/>
          <w:szCs w:val="24"/>
          <w:u w:color="000000"/>
          <w:bdr w:val="nil"/>
          <w:lang w:eastAsia="es-MX"/>
        </w:rPr>
        <w:lastRenderedPageBreak/>
        <w:t xml:space="preserve">Artículo </w:t>
      </w:r>
      <w:r>
        <w:rPr>
          <w:rFonts w:ascii="Arial" w:hAnsi="Arial" w:cs="Arial"/>
          <w:b/>
          <w:sz w:val="24"/>
          <w:szCs w:val="24"/>
          <w:u w:color="000000"/>
          <w:bdr w:val="nil"/>
          <w:lang w:eastAsia="es-MX"/>
        </w:rPr>
        <w:t>*</w:t>
      </w:r>
      <w:r w:rsidRPr="0096507A">
        <w:rPr>
          <w:rFonts w:ascii="Arial" w:hAnsi="Arial" w:cs="Arial"/>
          <w:b/>
          <w:sz w:val="24"/>
          <w:szCs w:val="24"/>
          <w:u w:color="000000"/>
          <w:bdr w:val="nil"/>
          <w:lang w:eastAsia="es-MX"/>
        </w:rPr>
        <w:t>127.</w:t>
      </w:r>
      <w:r w:rsidRPr="002E074E">
        <w:rPr>
          <w:rFonts w:ascii="Arial" w:hAnsi="Arial" w:cs="Arial"/>
          <w:sz w:val="24"/>
          <w:szCs w:val="24"/>
          <w:u w:color="000000"/>
          <w:bdr w:val="nil"/>
          <w:lang w:eastAsia="es-MX"/>
        </w:rPr>
        <w:t xml:space="preserve"> El Instituto resolverá el recurso de revisión conforme a lo siguiente: </w:t>
      </w:r>
    </w:p>
    <w:p w14:paraId="77EFBF1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383FC67" w14:textId="77777777" w:rsidR="00E85802" w:rsidRPr="0096507A"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 Interpuesto el recurso de revisión, el Comisionado </w:t>
      </w:r>
      <w:proofErr w:type="gramStart"/>
      <w:r w:rsidRPr="002E074E">
        <w:rPr>
          <w:rFonts w:ascii="Arial" w:hAnsi="Arial" w:cs="Arial"/>
          <w:sz w:val="24"/>
          <w:szCs w:val="24"/>
          <w:u w:color="000000"/>
          <w:bdr w:val="nil"/>
          <w:lang w:eastAsia="es-MX"/>
        </w:rPr>
        <w:t>Presidente</w:t>
      </w:r>
      <w:proofErr w:type="gramEnd"/>
      <w:r w:rsidRPr="002E074E">
        <w:rPr>
          <w:rFonts w:ascii="Arial" w:hAnsi="Arial" w:cs="Arial"/>
          <w:sz w:val="24"/>
          <w:szCs w:val="24"/>
          <w:u w:color="000000"/>
          <w:bdr w:val="nil"/>
          <w:lang w:eastAsia="es-MX"/>
        </w:rPr>
        <w:t xml:space="preserve"> en un plazo no mayor a dos días hábiles, lo turnará al Comisionado ponente que corresponda, quien deberá proceder a su análisis para </w:t>
      </w:r>
      <w:r w:rsidRPr="0096507A">
        <w:rPr>
          <w:rFonts w:ascii="Arial" w:hAnsi="Arial" w:cs="Arial"/>
          <w:sz w:val="24"/>
          <w:szCs w:val="24"/>
          <w:u w:color="000000"/>
          <w:bdr w:val="nil"/>
          <w:lang w:eastAsia="es-MX"/>
        </w:rPr>
        <w:t xml:space="preserve">que decrete su admisión, prevención o </w:t>
      </w:r>
      <w:proofErr w:type="spellStart"/>
      <w:r w:rsidRPr="0096507A">
        <w:rPr>
          <w:rFonts w:ascii="Arial" w:hAnsi="Arial" w:cs="Arial"/>
          <w:sz w:val="24"/>
          <w:szCs w:val="24"/>
          <w:u w:color="000000"/>
          <w:bdr w:val="nil"/>
          <w:lang w:eastAsia="es-MX"/>
        </w:rPr>
        <w:t>desechamiento</w:t>
      </w:r>
      <w:proofErr w:type="spellEnd"/>
      <w:r w:rsidRPr="0096507A">
        <w:rPr>
          <w:rFonts w:ascii="Arial" w:hAnsi="Arial" w:cs="Arial"/>
          <w:sz w:val="24"/>
          <w:szCs w:val="24"/>
          <w:u w:color="000000"/>
          <w:bdr w:val="nil"/>
          <w:lang w:eastAsia="es-MX"/>
        </w:rPr>
        <w:t xml:space="preserve">; </w:t>
      </w:r>
    </w:p>
    <w:p w14:paraId="3976C3E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w:t>
      </w:r>
      <w:r w:rsidRPr="00501804">
        <w:rPr>
          <w:rFonts w:ascii="Arial" w:hAnsi="Arial" w:cs="Arial"/>
          <w:sz w:val="24"/>
          <w:szCs w:val="24"/>
          <w:u w:color="000000"/>
          <w:bdr w:val="nil"/>
          <w:lang w:eastAsia="es-MX"/>
        </w:rPr>
        <w:t>Admitido el recurso de revisión, el comisionado ponente deberá integrar un expediente y ponerlo a disposición de las partes, para que, en un plazo máximo de siete días, manifiesten lo que a su derecho convenga</w:t>
      </w:r>
      <w:r w:rsidRPr="002E074E">
        <w:rPr>
          <w:rFonts w:ascii="Arial" w:hAnsi="Arial" w:cs="Arial"/>
          <w:sz w:val="24"/>
          <w:szCs w:val="24"/>
          <w:u w:color="000000"/>
          <w:bdr w:val="nil"/>
          <w:lang w:eastAsia="es-MX"/>
        </w:rPr>
        <w:t xml:space="preserve">;  </w:t>
      </w:r>
    </w:p>
    <w:p w14:paraId="1C4534A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w:t>
      </w:r>
      <w:r w:rsidRPr="0061659F">
        <w:rPr>
          <w:rFonts w:ascii="Arial" w:hAnsi="Arial" w:cs="Arial"/>
          <w:i/>
          <w:color w:val="808080"/>
          <w:sz w:val="24"/>
          <w:szCs w:val="24"/>
          <w:u w:color="000000"/>
          <w:bdr w:val="nil"/>
          <w:lang w:eastAsia="es-MX"/>
        </w:rPr>
        <w:t>Dentro del plazo mencionado en la fracción II del presente artículo</w:t>
      </w:r>
      <w:r w:rsidRPr="002E074E">
        <w:rPr>
          <w:rFonts w:ascii="Arial" w:hAnsi="Arial" w:cs="Arial"/>
          <w:sz w:val="24"/>
          <w:szCs w:val="24"/>
          <w:u w:color="000000"/>
          <w:bdr w:val="nil"/>
          <w:lang w:eastAsia="es-MX"/>
        </w:rPr>
        <w:t xml:space="preserve">, las partes podrán ofrecer todo tipo de pruebas o formular alegatos excepto la confesional por parte de los Sujetos Obligados y aquéllas que sean contrarias a derecho. Si el recurso se interpone por la falta de contestación a la solicitud de información, el sujeto obligado deberá ofrecer el documento que pruebe que respondió en tiempo y forma; </w:t>
      </w:r>
    </w:p>
    <w:p w14:paraId="2601C11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El Comisionado ponente deberá determinar la celebración de audiencias con las partes durante la sustanciación del recurso de revisión;  </w:t>
      </w:r>
    </w:p>
    <w:p w14:paraId="2C5846D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Concluido el desahogo de pruebas, el Comisionado ponente procederá a decretar el cierre de instrucción; </w:t>
      </w:r>
    </w:p>
    <w:p w14:paraId="51A2C9F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El Instituto no estará obligado a atender la información remitida por el sujeto obligado una vez decretado el cierre de instrucción, y </w:t>
      </w:r>
    </w:p>
    <w:p w14:paraId="6D2B38CF" w14:textId="77777777" w:rsidR="00E85802"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 Decretado el cierre de instrucción, el expediente pasará a resolución.  </w:t>
      </w:r>
    </w:p>
    <w:p w14:paraId="2E2F57DC"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NOTAS:</w:t>
      </w:r>
    </w:p>
    <w:p w14:paraId="694A53B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Reformada la fracción II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 xml:space="preserve">Antes decía: </w:t>
      </w:r>
      <w:r w:rsidRPr="005E54C7">
        <w:rPr>
          <w:rFonts w:ascii="Arial" w:hAnsi="Arial" w:cs="Arial"/>
          <w:sz w:val="20"/>
          <w:szCs w:val="20"/>
          <w:u w:color="000000"/>
          <w:bdr w:val="nil"/>
          <w:lang w:eastAsia="es-MX"/>
        </w:rPr>
        <w:t xml:space="preserve">II. Admitido el recurso de revisión, el Comisionado ponente deberá integrar un Expediente y ponerlo a disposición de las partes, para que </w:t>
      </w:r>
      <w:r w:rsidRPr="005E54C7">
        <w:rPr>
          <w:rFonts w:ascii="Arial" w:hAnsi="Arial" w:cs="Arial"/>
          <w:i/>
          <w:color w:val="808080"/>
          <w:sz w:val="20"/>
          <w:szCs w:val="20"/>
          <w:u w:color="000000"/>
          <w:bdr w:val="nil"/>
          <w:lang w:eastAsia="es-MX"/>
        </w:rPr>
        <w:t>en un plazo máximo de cinco días</w:t>
      </w:r>
      <w:r w:rsidRPr="005E54C7">
        <w:rPr>
          <w:rFonts w:ascii="Arial" w:hAnsi="Arial" w:cs="Arial"/>
          <w:sz w:val="20"/>
          <w:szCs w:val="20"/>
          <w:u w:color="000000"/>
          <w:bdr w:val="nil"/>
          <w:lang w:eastAsia="es-MX"/>
        </w:rPr>
        <w:t xml:space="preserve"> manifiesten lo que a su derecho convenga; </w:t>
      </w:r>
      <w:r>
        <w:rPr>
          <w:rFonts w:ascii="Arial" w:hAnsi="Arial" w:cs="Arial"/>
          <w:sz w:val="20"/>
          <w:szCs w:val="20"/>
          <w:u w:color="000000"/>
          <w:bdr w:val="nil"/>
          <w:lang w:eastAsia="es-MX"/>
        </w:rPr>
        <w:t>(Porción normativa declarada inválida)</w:t>
      </w:r>
      <w:r w:rsidRPr="005E54C7">
        <w:rPr>
          <w:rFonts w:ascii="Arial" w:hAnsi="Arial" w:cs="Arial"/>
          <w:sz w:val="20"/>
          <w:szCs w:val="20"/>
          <w:u w:color="000000"/>
          <w:bdr w:val="nil"/>
          <w:lang w:eastAsia="es-MX"/>
        </w:rPr>
        <w:t xml:space="preserve"> </w:t>
      </w:r>
    </w:p>
    <w:p w14:paraId="637B31B4" w14:textId="77777777" w:rsidR="00E85802"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 xml:space="preserve">Mediante resolución del Pleno de la Suprema Corte de Justicia de la Nación con fecha 11 de junio de 2019, dictada en la acción de inconstitucionalidad 38/2016 y su acumulada 39/2016, se declaró la invalidez </w:t>
      </w:r>
      <w:r>
        <w:rPr>
          <w:rFonts w:ascii="Arial" w:hAnsi="Arial" w:cs="Arial"/>
          <w:sz w:val="20"/>
          <w:szCs w:val="20"/>
          <w:u w:color="000000"/>
          <w:bdr w:val="nil"/>
          <w:lang w:eastAsia="es-MX"/>
        </w:rPr>
        <w:t>de la fracción II, en su porción normativa “en un plazo máximo de cinco días” y III, en su porción normativa “Dentro del plazo mencionado en la fracción II del presente artículo”</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p>
    <w:p w14:paraId="082EC180"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4C20FB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6507A">
        <w:rPr>
          <w:rFonts w:ascii="Arial" w:hAnsi="Arial" w:cs="Arial"/>
          <w:b/>
          <w:bCs/>
          <w:sz w:val="24"/>
          <w:szCs w:val="24"/>
          <w:u w:color="000000"/>
          <w:bdr w:val="nil"/>
          <w:lang w:eastAsia="es-MX"/>
        </w:rPr>
        <w:t>Artículo 128.</w:t>
      </w:r>
      <w:r w:rsidRPr="002E074E">
        <w:rPr>
          <w:rFonts w:ascii="Arial" w:hAnsi="Arial" w:cs="Arial"/>
          <w:sz w:val="24"/>
          <w:szCs w:val="24"/>
          <w:u w:color="000000"/>
          <w:bdr w:val="nil"/>
          <w:lang w:eastAsia="es-MX"/>
        </w:rPr>
        <w:t xml:space="preserve"> Las resoluciones del pleno podrán:</w:t>
      </w:r>
    </w:p>
    <w:p w14:paraId="23E091A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9408EC7"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Sobreseerlo;</w:t>
      </w:r>
    </w:p>
    <w:p w14:paraId="3CB263B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II. Confirmar el acto o resolución impugnada, o</w:t>
      </w:r>
    </w:p>
    <w:p w14:paraId="22A7AA2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Revocar total o parcialmente el acto o resolución impugnada.</w:t>
      </w:r>
    </w:p>
    <w:p w14:paraId="1537C276"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172BDAFF"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r w:rsidRPr="0096507A">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96507A">
        <w:rPr>
          <w:rFonts w:ascii="Arial" w:hAnsi="Arial" w:cs="Arial"/>
          <w:b/>
          <w:bCs/>
          <w:sz w:val="24"/>
          <w:szCs w:val="24"/>
          <w:u w:color="000000"/>
          <w:bdr w:val="nil"/>
          <w:lang w:eastAsia="es-MX"/>
        </w:rPr>
        <w:t>129.</w:t>
      </w:r>
      <w:r w:rsidRPr="002E074E">
        <w:rPr>
          <w:rFonts w:ascii="Arial" w:hAnsi="Arial" w:cs="Arial"/>
          <w:bCs/>
          <w:sz w:val="24"/>
          <w:szCs w:val="24"/>
          <w:u w:color="000000"/>
          <w:bdr w:val="nil"/>
          <w:lang w:eastAsia="es-MX"/>
        </w:rPr>
        <w:t xml:space="preserve"> </w:t>
      </w:r>
      <w:r w:rsidRPr="00501804">
        <w:rPr>
          <w:rFonts w:ascii="Arial" w:hAnsi="Arial" w:cs="Arial"/>
          <w:bCs/>
          <w:sz w:val="24"/>
          <w:szCs w:val="24"/>
          <w:u w:color="000000"/>
          <w:bdr w:val="nil"/>
          <w:lang w:eastAsia="es-MX"/>
        </w:rPr>
        <w:t>En las resoluciones que emita el instituto podrán señalarles a los sujetos obligados que la información que deben proporcionar sea considerada como obligación de transparencia de conformidad con el capítulo II del título quinto de la presente ley, atendiendo a la relevancia de la información, la incidencia de las solicitudes sobre la misma y el sentido reiterativo de las resoluciones.</w:t>
      </w:r>
    </w:p>
    <w:p w14:paraId="087D2FF9" w14:textId="77777777" w:rsidR="00E85802" w:rsidRPr="00501804"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5A613F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01804">
        <w:rPr>
          <w:rFonts w:ascii="Arial" w:hAnsi="Arial" w:cs="Arial"/>
          <w:bCs/>
          <w:sz w:val="24"/>
          <w:szCs w:val="24"/>
          <w:u w:color="000000"/>
          <w:bdr w:val="nil"/>
          <w:lang w:eastAsia="es-MX"/>
        </w:rPr>
        <w:t>El instituto deberá notificar a las partes y publicar las resoluciones que concluyan el procedimiento a más tardar al tercer día siguiente de su aprobación. Los sujetos obligados deberán informar al instituto el cumplimiento de sus resoluciones en un plazo no mayor a tres días.</w:t>
      </w:r>
    </w:p>
    <w:p w14:paraId="0F57A5AC" w14:textId="77777777" w:rsidR="00E85802"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Pr>
          <w:rFonts w:ascii="Arial" w:hAnsi="Arial" w:cs="Arial"/>
          <w:b/>
          <w:sz w:val="20"/>
          <w:szCs w:val="20"/>
          <w:u w:color="000000"/>
          <w:bdr w:val="nil"/>
          <w:lang w:eastAsia="es-MX"/>
        </w:rPr>
        <w:t>NOTAS:</w:t>
      </w:r>
    </w:p>
    <w:p w14:paraId="307B75E7" w14:textId="77777777" w:rsidR="00E85802" w:rsidRPr="00501804"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Pr>
          <w:rFonts w:ascii="Arial" w:hAnsi="Arial" w:cs="Arial"/>
          <w:b/>
          <w:sz w:val="20"/>
          <w:szCs w:val="20"/>
          <w:u w:color="000000"/>
          <w:bdr w:val="nil"/>
          <w:lang w:eastAsia="es-MX"/>
        </w:rPr>
        <w:t xml:space="preserve">REFORMA </w:t>
      </w:r>
      <w:proofErr w:type="gramStart"/>
      <w:r>
        <w:rPr>
          <w:rFonts w:ascii="Arial" w:hAnsi="Arial" w:cs="Arial"/>
          <w:b/>
          <w:sz w:val="20"/>
          <w:szCs w:val="20"/>
          <w:u w:color="000000"/>
          <w:bdr w:val="nil"/>
          <w:lang w:eastAsia="es-MX"/>
        </w:rPr>
        <w:t>VIGENTE.-</w:t>
      </w:r>
      <w:proofErr w:type="gramEnd"/>
      <w:r>
        <w:rPr>
          <w:rFonts w:ascii="Arial" w:hAnsi="Arial" w:cs="Arial"/>
          <w:b/>
          <w:sz w:val="20"/>
          <w:szCs w:val="20"/>
          <w:u w:color="000000"/>
          <w:bdr w:val="nil"/>
          <w:lang w:eastAsia="es-MX"/>
        </w:rPr>
        <w:t xml:space="preserve"> </w:t>
      </w:r>
      <w:r>
        <w:rPr>
          <w:rFonts w:ascii="Arial" w:hAnsi="Arial" w:cs="Arial"/>
          <w:sz w:val="20"/>
          <w:szCs w:val="20"/>
          <w:u w:color="000000"/>
          <w:bdr w:val="nil"/>
          <w:lang w:eastAsia="es-MX"/>
        </w:rPr>
        <w:t xml:space="preserve">Reformado por artículo único del </w:t>
      </w:r>
      <w:r w:rsidRPr="003F7349">
        <w:rPr>
          <w:rFonts w:ascii="Arial" w:hAnsi="Arial" w:cs="Arial"/>
          <w:sz w:val="20"/>
          <w:szCs w:val="20"/>
          <w:u w:color="000000"/>
          <w:bdr w:val="nil"/>
          <w:lang w:eastAsia="es-MX"/>
        </w:rPr>
        <w:t>Decreto No. 37, publicado en el Periódico Oficial “Tierra y Libertad” No. 6025, de fecha 2021/12/22. Vigencia: 2021/12/23.</w:t>
      </w:r>
      <w:r>
        <w:rPr>
          <w:rFonts w:ascii="Arial" w:hAnsi="Arial" w:cs="Arial"/>
          <w:sz w:val="20"/>
          <w:szCs w:val="20"/>
          <w:u w:color="000000"/>
          <w:bdr w:val="nil"/>
          <w:lang w:eastAsia="es-MX"/>
        </w:rPr>
        <w:t xml:space="preserve"> </w:t>
      </w:r>
      <w:r>
        <w:rPr>
          <w:rFonts w:ascii="Arial" w:hAnsi="Arial" w:cs="Arial"/>
          <w:b/>
          <w:sz w:val="20"/>
          <w:szCs w:val="20"/>
          <w:u w:color="000000"/>
          <w:bdr w:val="nil"/>
          <w:lang w:eastAsia="es-MX"/>
        </w:rPr>
        <w:t>Antes decía:</w:t>
      </w:r>
      <w:r w:rsidRPr="00501804">
        <w:rPr>
          <w:rFonts w:ascii="Arial" w:hAnsi="Arial" w:cs="Arial"/>
          <w:sz w:val="24"/>
          <w:szCs w:val="24"/>
          <w:u w:color="000000"/>
          <w:bdr w:val="nil"/>
          <w:lang w:eastAsia="es-MX"/>
        </w:rPr>
        <w:t xml:space="preserve"> </w:t>
      </w:r>
      <w:r w:rsidRPr="00501804">
        <w:rPr>
          <w:rFonts w:ascii="Arial" w:hAnsi="Arial" w:cs="Arial"/>
          <w:sz w:val="20"/>
          <w:szCs w:val="20"/>
          <w:u w:color="000000"/>
          <w:bdr w:val="nil"/>
          <w:lang w:eastAsia="es-MX"/>
        </w:rPr>
        <w:t xml:space="preserve">En las resoluciones que emita el Instituto podrán señalarles a los Sujetos Obligados que la información que deben proporcionar sea considerada como obligación de transparencia </w:t>
      </w:r>
      <w:r w:rsidRPr="00501804">
        <w:rPr>
          <w:rFonts w:ascii="Arial" w:hAnsi="Arial" w:cs="Arial"/>
          <w:i/>
          <w:color w:val="808080"/>
          <w:sz w:val="20"/>
          <w:szCs w:val="20"/>
          <w:u w:color="000000"/>
          <w:bdr w:val="nil"/>
          <w:lang w:eastAsia="es-MX"/>
        </w:rPr>
        <w:t>de conformidad con el Capítulo II del Título Cuarto de la presente Ley</w:t>
      </w:r>
      <w:r>
        <w:rPr>
          <w:rFonts w:ascii="Arial" w:hAnsi="Arial" w:cs="Arial"/>
          <w:i/>
          <w:color w:val="808080"/>
          <w:sz w:val="20"/>
          <w:szCs w:val="20"/>
          <w:u w:color="000000"/>
          <w:bdr w:val="nil"/>
          <w:lang w:eastAsia="es-MX"/>
        </w:rPr>
        <w:t xml:space="preserve"> </w:t>
      </w:r>
      <w:r>
        <w:rPr>
          <w:rFonts w:ascii="Arial" w:hAnsi="Arial" w:cs="Arial"/>
          <w:sz w:val="20"/>
          <w:szCs w:val="20"/>
          <w:u w:color="000000"/>
          <w:bdr w:val="nil"/>
          <w:lang w:eastAsia="es-MX"/>
        </w:rPr>
        <w:t>(Porción normativa declarada inválida)</w:t>
      </w:r>
      <w:r w:rsidRPr="00501804">
        <w:rPr>
          <w:rFonts w:ascii="Arial" w:hAnsi="Arial" w:cs="Arial"/>
          <w:sz w:val="20"/>
          <w:szCs w:val="20"/>
          <w:u w:color="000000"/>
          <w:bdr w:val="nil"/>
          <w:lang w:eastAsia="es-MX"/>
        </w:rPr>
        <w:t>, atendiendo a la relevancia de la información, la incidencia de las solicitudes sobre la misma y el sentido reiterativo de las resoluciones.</w:t>
      </w:r>
    </w:p>
    <w:p w14:paraId="0B66DE29" w14:textId="77777777" w:rsidR="00E85802" w:rsidRPr="00501804"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501804">
        <w:rPr>
          <w:rFonts w:ascii="Arial" w:hAnsi="Arial" w:cs="Arial"/>
          <w:sz w:val="20"/>
          <w:szCs w:val="20"/>
          <w:u w:color="000000"/>
          <w:bdr w:val="nil"/>
          <w:lang w:eastAsia="es-MX"/>
        </w:rPr>
        <w:t>En Instituto deberá notificar a las partes y publicar las resoluciones que concluyan el procedimiento a más tardar al tercer día siguiente de su aprobación. Los Sujetos Obligados deberán informar al Instituto el cumplimiento de sus resoluciones en un plazo no mayor a tres días.</w:t>
      </w:r>
    </w:p>
    <w:p w14:paraId="04658A10" w14:textId="77777777" w:rsidR="00E85802"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0"/>
          <w:szCs w:val="20"/>
          <w:lang w:val="es-ES" w:eastAsia="es-ES"/>
        </w:rPr>
      </w:pPr>
      <w:r w:rsidRPr="00F0336F">
        <w:rPr>
          <w:rFonts w:ascii="Arial" w:hAnsi="Arial" w:cs="Arial"/>
          <w:b/>
          <w:sz w:val="20"/>
          <w:szCs w:val="20"/>
          <w:u w:color="000000"/>
          <w:bdr w:val="nil"/>
          <w:lang w:eastAsia="es-MX"/>
        </w:rPr>
        <w:t xml:space="preserve">**DECLARACIÓN DE INVALIDEZ: </w:t>
      </w:r>
      <w:r w:rsidRPr="00F0336F">
        <w:rPr>
          <w:rFonts w:ascii="Arial" w:hAnsi="Arial" w:cs="Arial"/>
          <w:sz w:val="20"/>
          <w:szCs w:val="20"/>
          <w:u w:color="000000"/>
          <w:bdr w:val="nil"/>
          <w:lang w:eastAsia="es-MX"/>
        </w:rPr>
        <w:t xml:space="preserve">Mediante resolución del Pleno de la Suprema Corte de Justicia de la Nación con fecha 11 de junio de 2019, dictada en la acción de inconstitucionalidad 38/2016 y su acumulada 39/2016, se declaró la invalidez </w:t>
      </w:r>
      <w:r>
        <w:rPr>
          <w:rFonts w:ascii="Arial" w:hAnsi="Arial" w:cs="Arial"/>
          <w:sz w:val="20"/>
          <w:szCs w:val="20"/>
          <w:u w:color="000000"/>
          <w:bdr w:val="nil"/>
          <w:lang w:eastAsia="es-MX"/>
        </w:rPr>
        <w:t>del párrafo primero, en su porción normativa “de conformidad con el Capítulo II del Título Cuarto de la presente Ley”</w:t>
      </w:r>
      <w:r w:rsidRPr="00F0336F">
        <w:rPr>
          <w:rFonts w:ascii="Arial" w:hAnsi="Arial" w:cs="Arial"/>
          <w:sz w:val="20"/>
          <w:szCs w:val="20"/>
          <w:u w:color="000000"/>
          <w:bdr w:val="nil"/>
          <w:lang w:eastAsia="es-MX"/>
        </w:rPr>
        <w:t xml:space="preserve"> </w:t>
      </w:r>
      <w:r w:rsidRPr="00F0336F">
        <w:rPr>
          <w:rFonts w:ascii="Arial" w:eastAsia="Times New Roman" w:hAnsi="Arial" w:cs="Arial"/>
          <w:bCs/>
          <w:sz w:val="20"/>
          <w:szCs w:val="20"/>
          <w:lang w:val="es-ES" w:eastAsia="es-ES"/>
        </w:rPr>
        <w:t>Sentencia publicada en el Periódico Oficial “Tierra y Libertad” No. 5760 de fecha 2019/11/20.</w:t>
      </w:r>
      <w:r>
        <w:rPr>
          <w:rFonts w:ascii="Arial" w:eastAsia="Times New Roman" w:hAnsi="Arial" w:cs="Arial"/>
          <w:bCs/>
          <w:sz w:val="20"/>
          <w:szCs w:val="20"/>
          <w:lang w:val="es-ES" w:eastAsia="es-ES"/>
        </w:rPr>
        <w:t xml:space="preserve"> </w:t>
      </w:r>
      <w:r w:rsidRPr="006F12D8">
        <w:rPr>
          <w:rFonts w:ascii="Arial" w:eastAsia="Times New Roman" w:hAnsi="Arial" w:cs="Arial"/>
          <w:bCs/>
          <w:sz w:val="20"/>
          <w:szCs w:val="20"/>
          <w:lang w:val="es-ES" w:eastAsia="es-ES"/>
        </w:rPr>
        <w:t>La declaratoria de invalidez comenzó a surtir sus efectos, a partir de la notificación realizada al Congreso del Estado de Morelos.</w:t>
      </w:r>
    </w:p>
    <w:p w14:paraId="466E4002" w14:textId="77777777" w:rsidR="00E85802" w:rsidRPr="00CA5740"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val="es-ES" w:eastAsia="es-MX"/>
        </w:rPr>
      </w:pPr>
    </w:p>
    <w:p w14:paraId="0E9A6F6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96507A">
        <w:rPr>
          <w:rFonts w:ascii="Arial" w:hAnsi="Arial" w:cs="Arial"/>
          <w:b/>
          <w:bCs/>
          <w:sz w:val="24"/>
          <w:szCs w:val="24"/>
          <w:u w:color="000000"/>
          <w:bdr w:val="nil"/>
          <w:lang w:eastAsia="es-MX"/>
        </w:rPr>
        <w:t>Artículo 130.</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Cuando el Instituto determine durante la sustanciación del recurso de revisión que pudo haberse incurrido en una probable responsabilidad por el incumplimiento a las obligaciones previstas en esta Ley y las demás disposiciones aplicables en la materia, deberá hacerlo del conocimiento del órgano interno de control del propio sujeto obligado, o de la instancia competente para que ésta inicie, en su caso, el procedimiento de responsabilidad respectivo.</w:t>
      </w:r>
    </w:p>
    <w:p w14:paraId="55B0CB1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A6BF0D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Pr>
          <w:rFonts w:ascii="Arial" w:hAnsi="Arial" w:cs="Arial"/>
          <w:b/>
          <w:bCs/>
          <w:sz w:val="24"/>
          <w:szCs w:val="24"/>
          <w:u w:color="000000"/>
          <w:bdr w:val="nil"/>
          <w:lang w:eastAsia="es-MX"/>
        </w:rPr>
        <w:t xml:space="preserve">Artículo </w:t>
      </w:r>
      <w:r w:rsidRPr="0096507A">
        <w:rPr>
          <w:rFonts w:ascii="Arial" w:hAnsi="Arial" w:cs="Arial"/>
          <w:b/>
          <w:bCs/>
          <w:sz w:val="24"/>
          <w:szCs w:val="24"/>
          <w:u w:color="000000"/>
          <w:bdr w:val="nil"/>
          <w:lang w:eastAsia="es-MX"/>
        </w:rPr>
        <w:t>131.</w:t>
      </w:r>
      <w:r w:rsidRPr="002E074E">
        <w:rPr>
          <w:rFonts w:ascii="Arial" w:hAnsi="Arial" w:cs="Arial"/>
          <w:bCs/>
          <w:sz w:val="24"/>
          <w:szCs w:val="24"/>
          <w:u w:color="000000"/>
          <w:bdr w:val="nil"/>
          <w:lang w:eastAsia="es-MX"/>
        </w:rPr>
        <w:t xml:space="preserve"> Serán causa de </w:t>
      </w:r>
      <w:r w:rsidRPr="002E074E">
        <w:rPr>
          <w:rFonts w:ascii="Arial" w:hAnsi="Arial" w:cs="Arial"/>
          <w:sz w:val="24"/>
          <w:szCs w:val="24"/>
          <w:u w:color="000000"/>
          <w:bdr w:val="nil"/>
          <w:lang w:eastAsia="es-MX"/>
        </w:rPr>
        <w:t xml:space="preserve">improcedencia:  </w:t>
      </w:r>
    </w:p>
    <w:p w14:paraId="6C69A7C4"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 xml:space="preserve">I. Sea extemporáneo por haber transcurrido el plazo establecido en el artículo 117 de la presente Ley; </w:t>
      </w:r>
    </w:p>
    <w:p w14:paraId="2C55FBF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 Se esté tramitando ante el Poder Judicial algún recurso o medio de defensa interpuesto por el recurrente, que sea materia del recurso ante el Instituto; </w:t>
      </w:r>
    </w:p>
    <w:p w14:paraId="79AF428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III. No actualice alguno de los supuestos previstos en el artículo 118 de la presente Ley; </w:t>
      </w:r>
    </w:p>
    <w:p w14:paraId="53996B5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No se haya desahogado la prevención en los términos establecidos en el artículo 121 de la presente Ley; </w:t>
      </w:r>
    </w:p>
    <w:p w14:paraId="3FB90C6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Se impugne la veracidad de la información proporcionada; </w:t>
      </w:r>
    </w:p>
    <w:p w14:paraId="391EA78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 Se trate de una consulta, o </w:t>
      </w:r>
    </w:p>
    <w:p w14:paraId="680E08D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VII. El recurrente amplíe su solicitud en el recurso de revisión, únicamente respecto de los nuevos contenidos.  </w:t>
      </w:r>
    </w:p>
    <w:p w14:paraId="7D76D4CE"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52CEF0D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b/>
          <w:bCs/>
          <w:sz w:val="24"/>
          <w:szCs w:val="24"/>
          <w:u w:color="000000"/>
          <w:bdr w:val="nil"/>
          <w:lang w:eastAsia="es-MX"/>
        </w:rPr>
        <w:t>Artículo 132.</w:t>
      </w:r>
      <w:r w:rsidRPr="002E074E">
        <w:rPr>
          <w:rFonts w:ascii="Arial" w:hAnsi="Arial" w:cs="Arial"/>
          <w:sz w:val="24"/>
          <w:szCs w:val="24"/>
          <w:u w:color="000000"/>
          <w:bdr w:val="nil"/>
          <w:lang w:eastAsia="es-MX"/>
        </w:rPr>
        <w:t xml:space="preserve"> Es causa de sobreseimiento del recurso de revisión:</w:t>
      </w:r>
    </w:p>
    <w:p w14:paraId="67F9B095"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0F82D7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desistimiento por escrito de quien promueve el recurso de revisión;</w:t>
      </w:r>
    </w:p>
    <w:p w14:paraId="7BF589F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Cuando el Sujeto Obligado responsable del acto o resolución impugnados los modifique o revoque, de tal manera que quede sin materia antes de que se resuelva el recurso;</w:t>
      </w:r>
    </w:p>
    <w:p w14:paraId="15BBCC0A"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El fallecimiento del recurrente, o</w:t>
      </w:r>
    </w:p>
    <w:p w14:paraId="608F4B5C"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IV. Admitido el recurso de revisión, aparezca alguna causal de improcedencia en los términos del presente Capítulo.  </w:t>
      </w:r>
    </w:p>
    <w:p w14:paraId="744AFD4F"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BE4A752"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b/>
          <w:bCs/>
          <w:sz w:val="24"/>
          <w:szCs w:val="24"/>
          <w:u w:color="000000"/>
          <w:bdr w:val="nil"/>
          <w:lang w:eastAsia="es-MX"/>
        </w:rPr>
        <w:t>Artículo 133.</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Las resoluciones del Instituto serán definitivas, vinculatorias e inatacables para todos los Sujetos Obligados, incluidos los Sindicatos y Partidos Políticos.</w:t>
      </w:r>
    </w:p>
    <w:p w14:paraId="0DF3FD16"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6440F80D"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b/>
          <w:bCs/>
          <w:sz w:val="24"/>
          <w:szCs w:val="24"/>
          <w:u w:color="000000"/>
          <w:bdr w:val="nil"/>
          <w:lang w:eastAsia="es-MX"/>
        </w:rPr>
        <w:t>Artículo 134.</w:t>
      </w:r>
      <w:r w:rsidRPr="002E074E">
        <w:rPr>
          <w:rFonts w:ascii="Arial" w:hAnsi="Arial" w:cs="Arial"/>
          <w:sz w:val="24"/>
          <w:szCs w:val="24"/>
          <w:u w:color="000000"/>
          <w:bdr w:val="nil"/>
          <w:lang w:eastAsia="es-MX"/>
        </w:rPr>
        <w:t xml:space="preserve"> Los Sujetos Obligados, a través de la Unidad de Transparencia, darán estricto cumplimiento a las resoluciones del Instituto y deberán informar a </w:t>
      </w:r>
      <w:proofErr w:type="gramStart"/>
      <w:r w:rsidRPr="002E074E">
        <w:rPr>
          <w:rFonts w:ascii="Arial" w:hAnsi="Arial" w:cs="Arial"/>
          <w:sz w:val="24"/>
          <w:szCs w:val="24"/>
          <w:u w:color="000000"/>
          <w:bdr w:val="nil"/>
          <w:lang w:eastAsia="es-MX"/>
        </w:rPr>
        <w:t>éste</w:t>
      </w:r>
      <w:proofErr w:type="gramEnd"/>
      <w:r w:rsidRPr="002E074E">
        <w:rPr>
          <w:rFonts w:ascii="Arial" w:hAnsi="Arial" w:cs="Arial"/>
          <w:sz w:val="24"/>
          <w:szCs w:val="24"/>
          <w:u w:color="000000"/>
          <w:bdr w:val="nil"/>
          <w:lang w:eastAsia="es-MX"/>
        </w:rPr>
        <w:t xml:space="preserve"> sobre su cumplimiento.</w:t>
      </w:r>
    </w:p>
    <w:p w14:paraId="2B78FA5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B29B45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0E4D4C">
        <w:rPr>
          <w:rFonts w:ascii="Arial" w:hAnsi="Arial" w:cs="Arial"/>
          <w:sz w:val="24"/>
          <w:szCs w:val="24"/>
          <w:u w:color="000000"/>
          <w:bdr w:val="nil"/>
          <w:lang w:eastAsia="es-MX"/>
        </w:rPr>
        <w:t>Excepcionalmente, considerando las circunstancias especiales del caso, los Sujetos</w:t>
      </w:r>
      <w:r w:rsidRPr="002E074E">
        <w:rPr>
          <w:rFonts w:ascii="Arial" w:hAnsi="Arial" w:cs="Arial"/>
          <w:sz w:val="24"/>
          <w:szCs w:val="24"/>
          <w:u w:color="000000"/>
          <w:bdr w:val="nil"/>
          <w:lang w:eastAsia="es-MX"/>
        </w:rPr>
        <w:t xml:space="preserve"> Obligados podrán solicitar al Instituto, de manera fundada y motivada, una ampliación del plazo para el cumplimiento de la resolución.</w:t>
      </w:r>
    </w:p>
    <w:p w14:paraId="69F8B01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4895D6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Dicha solicitud deberá presentarse a más tardar dentro de los primeros tres días del plazo otorgado para el cumplimiento, a efecto de que el Instituto resuelva sobre la procedencia de la misma dentro de los cinco días siguientes.</w:t>
      </w:r>
    </w:p>
    <w:p w14:paraId="24D1A8A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A3F5C1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E1A15">
        <w:rPr>
          <w:rFonts w:ascii="Arial" w:hAnsi="Arial" w:cs="Arial"/>
          <w:b/>
          <w:sz w:val="24"/>
          <w:szCs w:val="24"/>
          <w:u w:color="000000"/>
          <w:bdr w:val="nil"/>
          <w:lang w:eastAsia="es-MX"/>
        </w:rPr>
        <w:t>Artículo 135.</w:t>
      </w:r>
      <w:r w:rsidRPr="000E4D4C">
        <w:rPr>
          <w:rFonts w:ascii="Arial" w:hAnsi="Arial" w:cs="Arial"/>
          <w:sz w:val="24"/>
          <w:szCs w:val="24"/>
          <w:u w:color="000000"/>
          <w:bdr w:val="nil"/>
          <w:lang w:eastAsia="es-MX"/>
        </w:rPr>
        <w:t xml:space="preserve"> </w:t>
      </w:r>
      <w:r w:rsidRPr="002E074E">
        <w:rPr>
          <w:rFonts w:ascii="Arial" w:hAnsi="Arial" w:cs="Arial"/>
          <w:sz w:val="24"/>
          <w:szCs w:val="24"/>
          <w:u w:color="000000"/>
          <w:bdr w:val="nil"/>
          <w:lang w:eastAsia="es-MX"/>
        </w:rPr>
        <w:t>Transcurrido el plazo señalado en el artículo anterior, el Sujeto Obligado deberá informar al Instituto sobre el cumplimento de la resolución. El Instituto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el organismo garante, deberá expresar las causas específicas por las cuales así lo considera.</w:t>
      </w:r>
    </w:p>
    <w:p w14:paraId="0BBCC74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6434EDD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E1A15">
        <w:rPr>
          <w:rFonts w:ascii="Arial" w:hAnsi="Arial" w:cs="Arial"/>
          <w:b/>
          <w:bCs/>
          <w:sz w:val="24"/>
          <w:szCs w:val="24"/>
          <w:u w:color="000000"/>
          <w:bdr w:val="nil"/>
          <w:lang w:eastAsia="es-MX"/>
        </w:rPr>
        <w:t>Artículo 136.</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Instituto deberá pronunciarse, en un plazo no mayor a cinco días, sobre todas las causas que el recurrente manifieste, así como del resultado de la verificación realizada. Si el organismo garante considera que se dio cumplimiento a la resolución, emitirá un acuerdo de cumplimiento y se ordenará el archivo del expediente. En caso contrario el organismo garante:</w:t>
      </w:r>
    </w:p>
    <w:p w14:paraId="5D953A2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40E4DD5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Emitirá un acuerdo de incumplimiento;</w:t>
      </w:r>
    </w:p>
    <w:p w14:paraId="270BE6B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Notificará al superior jerárquico del responsable de dar cumplimiento, para el efecto de que, en un plazo no mayor a cinco días, se dé cumplimiento a la resolución, y</w:t>
      </w:r>
    </w:p>
    <w:p w14:paraId="0E9DBB7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Determinará las medidas de apremio o sanciones, según corresponda, que deberán imponerse o las acciones procedentes que deberán aplicarse de conformidad con lo señalado en el siguiente Título.</w:t>
      </w:r>
    </w:p>
    <w:p w14:paraId="542E842C"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17917D0E" w14:textId="77777777" w:rsidR="00E85802" w:rsidRPr="00DE1A15"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DE1A15">
        <w:rPr>
          <w:rFonts w:ascii="Arial" w:hAnsi="Arial" w:cs="Arial"/>
          <w:b/>
          <w:bCs/>
          <w:sz w:val="24"/>
          <w:szCs w:val="24"/>
          <w:u w:color="000000"/>
          <w:bdr w:val="nil"/>
          <w:lang w:eastAsia="es-MX"/>
        </w:rPr>
        <w:t>CAPÍTULO II</w:t>
      </w:r>
    </w:p>
    <w:p w14:paraId="4377393C" w14:textId="77777777" w:rsidR="00E85802" w:rsidRPr="00DE1A15"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DE1A15">
        <w:rPr>
          <w:rFonts w:ascii="Arial" w:hAnsi="Arial" w:cs="Arial"/>
          <w:b/>
          <w:bCs/>
          <w:sz w:val="24"/>
          <w:szCs w:val="24"/>
          <w:u w:color="000000"/>
          <w:bdr w:val="nil"/>
          <w:lang w:eastAsia="es-MX"/>
        </w:rPr>
        <w:t>DEL RECURSO DE INCONFORMIDAD ANTE INSTITUTO NACIONAL DE TRANSPARENCIA, ACCESO A LA INFORMACIÓN Y PROTECCIÓN DE DATOS PERSONALES.</w:t>
      </w:r>
    </w:p>
    <w:p w14:paraId="4FDB80A6" w14:textId="77777777" w:rsidR="00E85802" w:rsidRPr="00DE1A15"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32E32F9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DE1A15">
        <w:rPr>
          <w:rFonts w:ascii="Arial" w:hAnsi="Arial" w:cs="Arial"/>
          <w:b/>
          <w:bCs/>
          <w:sz w:val="24"/>
          <w:szCs w:val="24"/>
          <w:u w:color="000000"/>
          <w:bdr w:val="nil"/>
          <w:lang w:eastAsia="es-MX"/>
        </w:rPr>
        <w:t>Artículo 137.</w:t>
      </w:r>
      <w:r w:rsidRPr="002E074E">
        <w:rPr>
          <w:rFonts w:ascii="Arial" w:hAnsi="Arial" w:cs="Arial"/>
          <w:sz w:val="24"/>
          <w:szCs w:val="24"/>
          <w:u w:color="000000"/>
          <w:bdr w:val="nil"/>
          <w:lang w:eastAsia="es-MX"/>
        </w:rPr>
        <w:t xml:space="preserve"> Tratándose de las resoluciones a los recursos de revisión que emita el Instituto, los recurrentes podrán optar por acudir ante el INAI o ante el Poder Judicial de la Federación, en los términos previsto en la Ley General. </w:t>
      </w:r>
    </w:p>
    <w:p w14:paraId="50A5215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9FD325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bCs/>
          <w:sz w:val="24"/>
          <w:szCs w:val="24"/>
          <w:u w:color="000000"/>
          <w:bdr w:val="nil"/>
          <w:lang w:eastAsia="es-MX"/>
        </w:rPr>
        <w:lastRenderedPageBreak/>
        <w:t>Artículo 138.</w:t>
      </w:r>
      <w:r w:rsidRPr="002E074E">
        <w:rPr>
          <w:rFonts w:ascii="Arial" w:hAnsi="Arial" w:cs="Arial"/>
          <w:sz w:val="24"/>
          <w:szCs w:val="24"/>
          <w:u w:color="000000"/>
          <w:bdr w:val="nil"/>
          <w:lang w:eastAsia="es-MX"/>
        </w:rPr>
        <w:t xml:space="preserve"> El recurso de inconformidad procede contra la resolución emitida por el Instituto que:</w:t>
      </w:r>
    </w:p>
    <w:p w14:paraId="318119B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0C50AE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Confirmen o modifiquen la clasificación de la información, o</w:t>
      </w:r>
    </w:p>
    <w:p w14:paraId="623F1B7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Confirmen la inexistencia o negativa de información.</w:t>
      </w:r>
    </w:p>
    <w:p w14:paraId="2A0CF01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D631F4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Se entenderá como negativa de acceso a la información la falta de resolución del Instituto dentro del plazo previsto para ello.</w:t>
      </w:r>
    </w:p>
    <w:p w14:paraId="6EB3FC33"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9DF11B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bCs/>
          <w:sz w:val="24"/>
          <w:szCs w:val="24"/>
          <w:u w:color="000000"/>
          <w:bdr w:val="nil"/>
          <w:lang w:eastAsia="es-MX"/>
        </w:rPr>
        <w:t>Artículo 139.</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El recurso de inconformidad deberá presentarse dentro de los quince días siguientes a que se tuvo conocimiento de la resolución o que se venza el plazo para que fuera emitido, por escrito ante el Instituto o mediante el sistema electrónico que al efecto establezca el INAI.</w:t>
      </w:r>
    </w:p>
    <w:p w14:paraId="4DB73D3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9B47FD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Independientemente de la vía a través de la cual sea interpuesto el recurso de inconformidad, el Expediente respectivo deberá obrar en la Plataforma Electrónica.</w:t>
      </w:r>
    </w:p>
    <w:p w14:paraId="6C98FD3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43659CE"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CAPÍTULO III</w:t>
      </w:r>
    </w:p>
    <w:p w14:paraId="74200A60"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DE LA ATRACCIÓN DE LOS RECURSOS DE REVISIÓN</w:t>
      </w:r>
    </w:p>
    <w:p w14:paraId="0C3AFD37" w14:textId="77777777" w:rsidR="00E85802" w:rsidRPr="00321467"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4E10CFA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bCs/>
          <w:sz w:val="24"/>
          <w:szCs w:val="24"/>
          <w:u w:color="000000"/>
          <w:bdr w:val="nil"/>
          <w:lang w:eastAsia="es-MX"/>
        </w:rPr>
        <w:t>Artículo 140.</w:t>
      </w:r>
      <w:r w:rsidRPr="002E074E">
        <w:rPr>
          <w:rFonts w:ascii="Arial" w:hAnsi="Arial" w:cs="Arial"/>
          <w:sz w:val="24"/>
          <w:szCs w:val="24"/>
          <w:u w:color="000000"/>
          <w:bdr w:val="nil"/>
          <w:lang w:eastAsia="es-MX"/>
        </w:rPr>
        <w:t xml:space="preserve"> El Pleno del Instituto, cuando así lo apruebe por unanimidad o por la mayoría de sus Comisionados, pedirá al INAI ejerza su facultad de atracción para conocer de aquellos recursos de revisión pendientes de resolución que por su interés y trascendencia así lo ameriten, facultad que podrá ser ejercida de oficio por el órgano Nacional.</w:t>
      </w:r>
    </w:p>
    <w:p w14:paraId="75FB9ECC"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107E37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Para lo anterior, el Instituto contará con un plazo no mayor a cinco días para su remisión. </w:t>
      </w:r>
    </w:p>
    <w:p w14:paraId="36AECAC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AA575F3"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los casos en los que el Instituto sea el sujeto obligado recurrido, notificará al INAI, en un plazo que no excederá de tres días a partir de que sea interpuesto el recurso. </w:t>
      </w:r>
    </w:p>
    <w:p w14:paraId="68AAE6A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7F60A7A1"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TÍTULO DÉCIMO</w:t>
      </w:r>
    </w:p>
    <w:p w14:paraId="3A0BC672"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DE LAS MEDIDAS DE APREMIO Y SANCIONES</w:t>
      </w:r>
    </w:p>
    <w:p w14:paraId="70C8E019"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p>
    <w:p w14:paraId="654A135E"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lastRenderedPageBreak/>
        <w:t>CAPÍTULO I</w:t>
      </w:r>
    </w:p>
    <w:p w14:paraId="65D5F9C1" w14:textId="77777777" w:rsidR="00E85802" w:rsidRPr="00321467"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21467">
        <w:rPr>
          <w:rFonts w:ascii="Arial" w:hAnsi="Arial" w:cs="Arial"/>
          <w:b/>
          <w:bCs/>
          <w:sz w:val="24"/>
          <w:szCs w:val="24"/>
          <w:u w:color="000000"/>
          <w:bdr w:val="nil"/>
          <w:lang w:eastAsia="es-MX"/>
        </w:rPr>
        <w:t>DE LAS MEDIDAS DE APREMIO</w:t>
      </w:r>
    </w:p>
    <w:p w14:paraId="5CDB3D93"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61D60FC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21467">
        <w:rPr>
          <w:rFonts w:ascii="Arial" w:hAnsi="Arial" w:cs="Arial"/>
          <w:b/>
          <w:sz w:val="24"/>
          <w:szCs w:val="24"/>
          <w:u w:color="000000"/>
          <w:bdr w:val="nil"/>
          <w:lang w:eastAsia="es-MX"/>
        </w:rPr>
        <w:t xml:space="preserve">Artículo </w:t>
      </w:r>
      <w:r>
        <w:rPr>
          <w:rFonts w:ascii="Arial" w:hAnsi="Arial" w:cs="Arial"/>
          <w:b/>
          <w:sz w:val="24"/>
          <w:szCs w:val="24"/>
          <w:u w:color="000000"/>
          <w:bdr w:val="nil"/>
          <w:lang w:eastAsia="es-MX"/>
        </w:rPr>
        <w:t>*</w:t>
      </w:r>
      <w:r w:rsidRPr="00321467">
        <w:rPr>
          <w:rFonts w:ascii="Arial" w:hAnsi="Arial" w:cs="Arial"/>
          <w:b/>
          <w:sz w:val="24"/>
          <w:szCs w:val="24"/>
          <w:u w:color="000000"/>
          <w:bdr w:val="nil"/>
          <w:lang w:eastAsia="es-MX"/>
        </w:rPr>
        <w:t>141.</w:t>
      </w:r>
      <w:r w:rsidRPr="002E074E">
        <w:rPr>
          <w:rFonts w:ascii="Arial" w:hAnsi="Arial" w:cs="Arial"/>
          <w:sz w:val="24"/>
          <w:szCs w:val="24"/>
          <w:u w:color="000000"/>
          <w:bdr w:val="nil"/>
          <w:lang w:eastAsia="es-MX"/>
        </w:rPr>
        <w:t xml:space="preserve"> El Instituto impondrá al servidor público encargado de cumplir con la resolución, o a los Sujetos Obligados, las siguientes medidas de apremio </w:t>
      </w:r>
      <w:r w:rsidRPr="00321467">
        <w:rPr>
          <w:rFonts w:ascii="Arial" w:hAnsi="Arial" w:cs="Arial"/>
          <w:sz w:val="24"/>
          <w:szCs w:val="24"/>
          <w:u w:color="000000"/>
          <w:bdr w:val="nil"/>
          <w:lang w:eastAsia="es-MX"/>
        </w:rPr>
        <w:t>para asegurar el cumplimiento de sus determinaciones:</w:t>
      </w:r>
    </w:p>
    <w:p w14:paraId="6C28749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70EF976" w14:textId="77777777" w:rsidR="00E85802" w:rsidRPr="002E074E" w:rsidRDefault="00E85802" w:rsidP="00E85802">
      <w:pPr>
        <w:pBdr>
          <w:top w:val="nil"/>
          <w:left w:val="nil"/>
          <w:bottom w:val="nil"/>
          <w:right w:val="nil"/>
          <w:between w:val="nil"/>
          <w:bar w:val="nil"/>
        </w:pBdr>
        <w:tabs>
          <w:tab w:val="left" w:pos="426"/>
          <w:tab w:val="left" w:pos="851"/>
        </w:tabs>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I. </w:t>
      </w:r>
      <w:r w:rsidRPr="002E074E">
        <w:rPr>
          <w:rFonts w:ascii="Arial" w:hAnsi="Arial" w:cs="Arial"/>
          <w:sz w:val="24"/>
          <w:szCs w:val="24"/>
          <w:u w:color="000000"/>
          <w:bdr w:val="nil"/>
          <w:lang w:eastAsia="es-MX"/>
        </w:rPr>
        <w:t xml:space="preserve">Amonestación; </w:t>
      </w:r>
    </w:p>
    <w:p w14:paraId="44850DE4" w14:textId="77777777" w:rsidR="00E85802" w:rsidRPr="002E074E" w:rsidRDefault="00E85802" w:rsidP="00E85802">
      <w:pPr>
        <w:pBdr>
          <w:top w:val="nil"/>
          <w:left w:val="nil"/>
          <w:bottom w:val="nil"/>
          <w:right w:val="nil"/>
          <w:between w:val="nil"/>
          <w:bar w:val="nil"/>
        </w:pBdr>
        <w:tabs>
          <w:tab w:val="left" w:pos="426"/>
          <w:tab w:val="left" w:pos="851"/>
        </w:tabs>
        <w:spacing w:after="0" w:line="240" w:lineRule="auto"/>
        <w:ind w:left="284"/>
        <w:jc w:val="both"/>
        <w:rPr>
          <w:rFonts w:ascii="Arial" w:hAnsi="Arial" w:cs="Arial"/>
          <w:sz w:val="24"/>
          <w:szCs w:val="24"/>
          <w:u w:color="000000"/>
          <w:bdr w:val="nil"/>
          <w:lang w:eastAsia="es-MX"/>
        </w:rPr>
      </w:pPr>
      <w:r>
        <w:rPr>
          <w:rFonts w:ascii="Arial" w:hAnsi="Arial" w:cs="Arial"/>
          <w:sz w:val="24"/>
          <w:szCs w:val="24"/>
          <w:u w:color="000000"/>
          <w:bdr w:val="nil"/>
          <w:lang w:eastAsia="es-MX"/>
        </w:rPr>
        <w:t xml:space="preserve">II. </w:t>
      </w:r>
      <w:r w:rsidRPr="002E074E">
        <w:rPr>
          <w:rFonts w:ascii="Arial" w:hAnsi="Arial" w:cs="Arial"/>
          <w:sz w:val="24"/>
          <w:szCs w:val="24"/>
          <w:u w:color="000000"/>
          <w:bdr w:val="nil"/>
          <w:lang w:eastAsia="es-MX"/>
        </w:rPr>
        <w:t>Amonestación pública, o</w:t>
      </w:r>
    </w:p>
    <w:p w14:paraId="3F72BE7E" w14:textId="77777777" w:rsidR="00E85802" w:rsidRPr="008D7413" w:rsidRDefault="00E85802" w:rsidP="00E85802">
      <w:pPr>
        <w:pBdr>
          <w:top w:val="nil"/>
          <w:left w:val="nil"/>
          <w:bottom w:val="nil"/>
          <w:right w:val="nil"/>
          <w:between w:val="nil"/>
          <w:bar w:val="nil"/>
        </w:pBdr>
        <w:tabs>
          <w:tab w:val="left" w:pos="426"/>
          <w:tab w:val="left" w:pos="851"/>
        </w:tabs>
        <w:spacing w:after="0" w:line="240" w:lineRule="auto"/>
        <w:ind w:left="284"/>
        <w:jc w:val="both"/>
        <w:rPr>
          <w:rFonts w:ascii="Arial" w:eastAsia="Times New Roman" w:hAnsi="Arial" w:cs="Arial"/>
          <w:bCs/>
          <w:sz w:val="24"/>
          <w:szCs w:val="24"/>
          <w:u w:color="000000"/>
          <w:bdr w:val="nil"/>
          <w:lang w:val="es-ES" w:eastAsia="es-ES"/>
        </w:rPr>
      </w:pPr>
      <w:r w:rsidRPr="008D7413">
        <w:rPr>
          <w:rFonts w:ascii="Arial" w:eastAsia="Times New Roman" w:hAnsi="Arial" w:cs="Arial"/>
          <w:bCs/>
          <w:sz w:val="24"/>
          <w:szCs w:val="24"/>
          <w:u w:color="000000"/>
          <w:bdr w:val="nil"/>
          <w:lang w:val="es-ES" w:eastAsia="es-ES"/>
        </w:rPr>
        <w:t xml:space="preserve">III. Multa, de ciento cincuenta hasta mil quinientas </w:t>
      </w:r>
      <w:r w:rsidRPr="008D7413">
        <w:rPr>
          <w:rFonts w:ascii="Arial" w:eastAsia="Times New Roman" w:hAnsi="Arial" w:cs="Arial"/>
          <w:bCs/>
          <w:sz w:val="24"/>
          <w:szCs w:val="24"/>
          <w:lang w:val="es-ES" w:eastAsia="es-ES"/>
        </w:rPr>
        <w:t>veces el valor diario de la Unidad de Medida y Actualización</w:t>
      </w:r>
      <w:r w:rsidRPr="008D7413">
        <w:rPr>
          <w:rFonts w:ascii="Arial" w:eastAsia="Times New Roman" w:hAnsi="Arial" w:cs="Arial"/>
          <w:bCs/>
          <w:sz w:val="24"/>
          <w:szCs w:val="24"/>
          <w:u w:color="000000"/>
          <w:bdr w:val="nil"/>
          <w:lang w:val="es-ES" w:eastAsia="es-ES"/>
        </w:rPr>
        <w:t xml:space="preserve">. </w:t>
      </w:r>
    </w:p>
    <w:p w14:paraId="3002B95F" w14:textId="77777777" w:rsidR="00E85802" w:rsidRDefault="00E85802" w:rsidP="00E85802">
      <w:pPr>
        <w:pBdr>
          <w:top w:val="nil"/>
          <w:left w:val="nil"/>
          <w:bottom w:val="nil"/>
          <w:right w:val="nil"/>
          <w:between w:val="nil"/>
          <w:bar w:val="nil"/>
        </w:pBdr>
        <w:tabs>
          <w:tab w:val="left" w:pos="0"/>
          <w:tab w:val="left" w:pos="851"/>
        </w:tabs>
        <w:spacing w:after="0" w:line="240" w:lineRule="auto"/>
        <w:jc w:val="both"/>
        <w:rPr>
          <w:rFonts w:ascii="Arial" w:hAnsi="Arial" w:cs="Arial"/>
          <w:sz w:val="24"/>
          <w:szCs w:val="24"/>
          <w:u w:color="000000"/>
          <w:bdr w:val="nil"/>
          <w:lang w:eastAsia="es-MX"/>
        </w:rPr>
      </w:pPr>
    </w:p>
    <w:p w14:paraId="738E43EE" w14:textId="77777777" w:rsidR="00E85802" w:rsidRDefault="00E85802" w:rsidP="00E85802">
      <w:pPr>
        <w:pBdr>
          <w:top w:val="nil"/>
          <w:left w:val="nil"/>
          <w:bottom w:val="nil"/>
          <w:right w:val="nil"/>
          <w:between w:val="nil"/>
          <w:bar w:val="nil"/>
        </w:pBdr>
        <w:tabs>
          <w:tab w:val="left" w:pos="0"/>
          <w:tab w:val="left" w:pos="851"/>
        </w:tabs>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El incumplimiento de los Sujetos Obligados será difundido en caso de amonestación pública en el portal de transparencia del Instituto.</w:t>
      </w:r>
    </w:p>
    <w:p w14:paraId="33D0FA2C" w14:textId="77777777" w:rsidR="00E85802" w:rsidRPr="002E074E" w:rsidRDefault="00E85802" w:rsidP="00E85802">
      <w:pPr>
        <w:pBdr>
          <w:top w:val="nil"/>
          <w:left w:val="nil"/>
          <w:bottom w:val="nil"/>
          <w:right w:val="nil"/>
          <w:between w:val="nil"/>
          <w:bar w:val="nil"/>
        </w:pBdr>
        <w:tabs>
          <w:tab w:val="left" w:pos="0"/>
          <w:tab w:val="left" w:pos="851"/>
        </w:tabs>
        <w:spacing w:after="0" w:line="240" w:lineRule="auto"/>
        <w:jc w:val="both"/>
        <w:rPr>
          <w:rFonts w:ascii="Arial" w:hAnsi="Arial" w:cs="Arial"/>
          <w:sz w:val="24"/>
          <w:szCs w:val="24"/>
          <w:u w:color="000000"/>
          <w:bdr w:val="nil"/>
          <w:lang w:eastAsia="es-MX"/>
        </w:rPr>
      </w:pPr>
    </w:p>
    <w:p w14:paraId="731A356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que el incumplimiento de la determinación del Instituto, que implique la presunta comisión de un delito o una de las conductas señaladas en el artículo 143 de esta Ley, el Instituto deberá denunciar los hechos ante la autoridad competente.</w:t>
      </w:r>
    </w:p>
    <w:p w14:paraId="4F80E02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E2429B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medidas de apremio de carácter económico no podrán ser cubiertas con recursos públicos.</w:t>
      </w:r>
    </w:p>
    <w:p w14:paraId="6C5FFF8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9DADFE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Las multas que se fijen se harán efectivas ante la Secretaría de Hacienda del estado de Morelos, según corresponda, a través de los procedimientos que las leyes establezcan.</w:t>
      </w:r>
    </w:p>
    <w:p w14:paraId="1CCC25CA"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14:paraId="5ED288CD" w14:textId="77777777" w:rsidR="00E85802" w:rsidRPr="008D7413" w:rsidRDefault="00E85802" w:rsidP="00E85802">
      <w:pPr>
        <w:pBdr>
          <w:top w:val="nil"/>
          <w:left w:val="nil"/>
          <w:bottom w:val="nil"/>
          <w:right w:val="nil"/>
          <w:between w:val="nil"/>
          <w:bar w:val="nil"/>
        </w:pBdr>
        <w:tabs>
          <w:tab w:val="left" w:pos="426"/>
          <w:tab w:val="left" w:pos="851"/>
        </w:tabs>
        <w:spacing w:after="0" w:line="240" w:lineRule="auto"/>
        <w:jc w:val="both"/>
        <w:rPr>
          <w:rFonts w:ascii="Arial" w:hAnsi="Arial" w:cs="Arial"/>
          <w:sz w:val="20"/>
          <w:szCs w:val="20"/>
          <w:u w:color="000000"/>
          <w:bdr w:val="nil"/>
          <w:lang w:eastAsia="es-MX"/>
        </w:rPr>
      </w:pPr>
      <w:r w:rsidRPr="008D7413">
        <w:rPr>
          <w:rFonts w:ascii="Arial" w:hAnsi="Arial" w:cs="Arial"/>
          <w:b/>
          <w:bCs/>
          <w:sz w:val="20"/>
          <w:szCs w:val="20"/>
          <w:lang w:val="es-ES"/>
        </w:rPr>
        <w:t xml:space="preserve">REFORMA </w:t>
      </w:r>
      <w:proofErr w:type="gramStart"/>
      <w:r w:rsidRPr="008D7413">
        <w:rPr>
          <w:rFonts w:ascii="Arial" w:hAnsi="Arial" w:cs="Arial"/>
          <w:b/>
          <w:bCs/>
          <w:sz w:val="20"/>
          <w:szCs w:val="20"/>
          <w:lang w:val="es-ES"/>
        </w:rPr>
        <w:t>VIGENTE.-</w:t>
      </w:r>
      <w:proofErr w:type="gramEnd"/>
      <w:r w:rsidRPr="008D7413">
        <w:rPr>
          <w:rFonts w:ascii="Arial" w:hAnsi="Arial" w:cs="Arial"/>
          <w:bCs/>
          <w:sz w:val="20"/>
          <w:szCs w:val="20"/>
          <w:lang w:val="es-ES"/>
        </w:rPr>
        <w:t xml:space="preserve"> Reformada </w:t>
      </w:r>
      <w:r w:rsidRPr="008D7413">
        <w:rPr>
          <w:rFonts w:ascii="Arial" w:eastAsia="Times New Roman" w:hAnsi="Arial" w:cs="Arial"/>
          <w:bCs/>
          <w:sz w:val="20"/>
          <w:szCs w:val="20"/>
          <w:shd w:val="clear" w:color="auto" w:fill="FFFFFF"/>
          <w:lang w:val="es-ES" w:eastAsia="es-ES"/>
        </w:rPr>
        <w:t xml:space="preserve">la </w:t>
      </w:r>
      <w:r w:rsidRPr="008D7413">
        <w:rPr>
          <w:rFonts w:ascii="Arial" w:eastAsia="Times New Roman" w:hAnsi="Arial" w:cs="Arial"/>
          <w:bCs/>
          <w:sz w:val="20"/>
          <w:szCs w:val="20"/>
          <w:u w:color="000000"/>
          <w:bdr w:val="nil"/>
          <w:lang w:val="es-ES" w:eastAsia="es-ES"/>
        </w:rPr>
        <w:t xml:space="preserve">fracción III primer párrafo, por artículo único del Decreto No. 1500 publicado en el Periódico Oficial “Tierra y Libertad” No. 5478 de fecha 2017/03/01. Vigencia 2017/03/02. </w:t>
      </w:r>
      <w:r w:rsidRPr="008D7413">
        <w:rPr>
          <w:rFonts w:ascii="Arial" w:eastAsia="Times New Roman" w:hAnsi="Arial" w:cs="Arial"/>
          <w:b/>
          <w:bCs/>
          <w:sz w:val="20"/>
          <w:szCs w:val="20"/>
          <w:u w:color="000000"/>
          <w:bdr w:val="nil"/>
          <w:lang w:val="es-ES" w:eastAsia="es-ES"/>
        </w:rPr>
        <w:t>Antes decía:</w:t>
      </w:r>
      <w:r w:rsidRPr="008D7413">
        <w:rPr>
          <w:rFonts w:ascii="Arial" w:eastAsia="Times New Roman" w:hAnsi="Arial" w:cs="Arial"/>
          <w:bCs/>
          <w:sz w:val="20"/>
          <w:szCs w:val="20"/>
          <w:u w:color="000000"/>
          <w:bdr w:val="nil"/>
          <w:lang w:val="es-ES" w:eastAsia="es-ES"/>
        </w:rPr>
        <w:t xml:space="preserve"> </w:t>
      </w:r>
      <w:r w:rsidRPr="008D7413">
        <w:rPr>
          <w:rFonts w:ascii="Arial" w:hAnsi="Arial" w:cs="Arial"/>
          <w:sz w:val="20"/>
          <w:szCs w:val="20"/>
          <w:u w:color="000000"/>
          <w:bdr w:val="nil"/>
          <w:lang w:eastAsia="es-MX"/>
        </w:rPr>
        <w:t xml:space="preserve">III. Multa, de ciento cincuenta hasta mil quinientas veces el salario mínimo general vigente. </w:t>
      </w:r>
    </w:p>
    <w:p w14:paraId="4DD7192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FEDEB7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sz w:val="24"/>
          <w:szCs w:val="24"/>
          <w:u w:color="000000"/>
          <w:bdr w:val="nil"/>
          <w:lang w:eastAsia="es-MX"/>
        </w:rPr>
        <w:t>Artículo 142.</w:t>
      </w:r>
      <w:r w:rsidRPr="002E074E">
        <w:rPr>
          <w:rFonts w:ascii="Arial" w:hAnsi="Arial" w:cs="Arial"/>
          <w:sz w:val="24"/>
          <w:szCs w:val="24"/>
          <w:u w:color="000000"/>
          <w:bdr w:val="nil"/>
          <w:lang w:eastAsia="es-MX"/>
        </w:rPr>
        <w:t xml:space="preserve"> Si a pesar de la ejecución de las medidas de apremio previstas en el artículo anterior no se cumple con la determinación, se requerirá el cumplimiento al superior jerárquico para que en un plazo de cinco días lo instruya a cumplir sin demora. De persistir el incumplimiento, se aplicarán sobre el superior jerárquico las medidas de apremio establecidas en el artículo anterior.</w:t>
      </w:r>
    </w:p>
    <w:p w14:paraId="756E90A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DAFB2B4"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Transcurrido el plazo, sin que se haya dado cumplimiento, se determinarán las sanciones que correspondan.</w:t>
      </w:r>
    </w:p>
    <w:p w14:paraId="4867760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4281E8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bCs/>
          <w:sz w:val="24"/>
          <w:szCs w:val="24"/>
          <w:u w:color="000000"/>
          <w:bdr w:val="nil"/>
          <w:lang w:eastAsia="es-MX"/>
        </w:rPr>
        <w:t>Artículo 143.</w:t>
      </w:r>
      <w:r w:rsidRPr="002E074E">
        <w:rPr>
          <w:rFonts w:ascii="Arial" w:hAnsi="Arial" w:cs="Arial"/>
          <w:sz w:val="24"/>
          <w:szCs w:val="24"/>
          <w:u w:color="000000"/>
          <w:bdr w:val="nil"/>
          <w:lang w:eastAsia="es-MX"/>
        </w:rPr>
        <w:t xml:space="preserve"> Los Sujetos Obligados por esta Ley serán sancionados cuando incurran en cualquiera de las siguientes conductas:</w:t>
      </w:r>
    </w:p>
    <w:p w14:paraId="5227B9B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90BB249"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La falta de respuesta a las solicitudes de información en los plazos señalados en la normatividad aplicable;</w:t>
      </w:r>
    </w:p>
    <w:p w14:paraId="30C3857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 Desempeñarse con negligencia, dolo o mala fe en la sustanciación de las solicitudes de acceso a la información, en la difusión de las obligaciones de transparencia, o de las estadísticas, sondeos y encuestas producidas por el Instituto;</w:t>
      </w:r>
    </w:p>
    <w:p w14:paraId="57E3219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III. Incumplir los plazos de atención previstos en la presente Ley;</w:t>
      </w:r>
    </w:p>
    <w:p w14:paraId="3F8D242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IV. Utilizar, sustraer, dañar, mutilar, destruir, esconder, estropear, divulgar o alterar, total o parcialmente y de manera indebida información que se encuentre bajo su custodia, a la cual tengan acceso o conocimiento con motivo de su empleo, cargo o comisión;</w:t>
      </w:r>
    </w:p>
    <w:p w14:paraId="24B1CFA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V. Entregar información incomprensible, incompleta, en un formato no accesible, una modalidad de envío o de entrega diferente a la solicitada previamente por el usuario en su solicitud de acceso a la información, al responder sin la debida motivación y fundamentación establecidas en esta Ley;  </w:t>
      </w:r>
    </w:p>
    <w:p w14:paraId="547721F0"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 No actualizar la información correspondiente a las obligaciones de transparencia en los plazos previstos en la presente Ley;</w:t>
      </w:r>
    </w:p>
    <w:p w14:paraId="795DD4D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 Declarar con dolo o negligencia la inexistencia de información cuando el sujeto obligado deba generarla derivado del ejercicio de sus facultades, competencias o funciones;</w:t>
      </w:r>
    </w:p>
    <w:p w14:paraId="1FBB487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VIII. Declarar la inexistencia de la información cuando exista total o parcialmente en sus archivos;</w:t>
      </w:r>
    </w:p>
    <w:p w14:paraId="6ED71F7E"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IX. No documentar con dolo o negligencia, el ejercicio de sus facultades, competencias, funciones o actos de autoridad, de conformidad con la normatividad aplicable;</w:t>
      </w:r>
    </w:p>
    <w:p w14:paraId="4DE01C0F"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 Realizar actos para intimidar a los solicitantes de información o inhibir el ejercicio del derecho; </w:t>
      </w:r>
    </w:p>
    <w:p w14:paraId="29A14BE2"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XI. Denegar intencionalmente información que no se encuentre clasificada como reservada o confidencial; </w:t>
      </w:r>
    </w:p>
    <w:p w14:paraId="2BE8EE2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 xml:space="preserve">XII. Clasificar como reservada con dolo o negligencia la información sin que se cumplan las características señaladas en la presente Ley. La sanción procederá cuando exista una resolución previa del Instituto, que haya quedado firme; </w:t>
      </w:r>
    </w:p>
    <w:p w14:paraId="2205FC5B"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XIII. Entregar información considerada como reservada o confidencial conforme a lo dispuesto por esta Ley, teniendo la obligación de no hacerlo;</w:t>
      </w:r>
    </w:p>
    <w:p w14:paraId="5AAEF7E3"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XIV. No desclasificar la información como reservada cuando los motivos que le dieron origen ya no existan o haya fenecido el plazo, cuando el Instituto determine que existe una causa de interés público que persiste o no se solicite la prórroga al Comité de Transparencia;</w:t>
      </w:r>
    </w:p>
    <w:p w14:paraId="0568AE96"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 No atender los requerimientos establecidos en la presente Ley, emitidos por el Instituto;</w:t>
      </w:r>
    </w:p>
    <w:p w14:paraId="1BFE724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 No acatar las resoluciones emitidas por el Instituto, en ejercicio de sus funciones;</w:t>
      </w:r>
    </w:p>
    <w:p w14:paraId="0B72FA11"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XVII. No publicar o actualizar en tiempo y forma las obligaciones de transparencia;</w:t>
      </w:r>
    </w:p>
    <w:p w14:paraId="54F023B5"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XVIII. Recabar datos personales innecesarios para el desempeño de sus funciones públicas y </w:t>
      </w:r>
    </w:p>
    <w:p w14:paraId="1B96C62D"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XIX. Comercializar con datos personales contenidos en sus archivos.</w:t>
      </w:r>
    </w:p>
    <w:p w14:paraId="023D63A6" w14:textId="77777777" w:rsidR="00E85802" w:rsidRDefault="00E85802" w:rsidP="00E85802">
      <w:pPr>
        <w:pBdr>
          <w:top w:val="nil"/>
          <w:left w:val="nil"/>
          <w:bottom w:val="nil"/>
          <w:right w:val="nil"/>
          <w:between w:val="nil"/>
          <w:bar w:val="nil"/>
        </w:pBdr>
        <w:spacing w:after="0" w:line="240" w:lineRule="auto"/>
        <w:jc w:val="center"/>
        <w:rPr>
          <w:rFonts w:ascii="Arial" w:hAnsi="Arial" w:cs="Arial"/>
          <w:bCs/>
          <w:sz w:val="24"/>
          <w:szCs w:val="24"/>
          <w:u w:color="000000"/>
          <w:bdr w:val="nil"/>
          <w:lang w:eastAsia="es-MX"/>
        </w:rPr>
      </w:pPr>
    </w:p>
    <w:p w14:paraId="08248CBB" w14:textId="77777777" w:rsidR="00E85802" w:rsidRPr="003407F9"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407F9">
        <w:rPr>
          <w:rFonts w:ascii="Arial" w:hAnsi="Arial" w:cs="Arial"/>
          <w:b/>
          <w:bCs/>
          <w:sz w:val="24"/>
          <w:szCs w:val="24"/>
          <w:u w:color="000000"/>
          <w:bdr w:val="nil"/>
          <w:lang w:eastAsia="es-MX"/>
        </w:rPr>
        <w:t>CAPÍTULO II</w:t>
      </w:r>
    </w:p>
    <w:p w14:paraId="7D37A8F7" w14:textId="77777777" w:rsidR="00E85802" w:rsidRPr="003407F9"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3407F9">
        <w:rPr>
          <w:rFonts w:ascii="Arial" w:hAnsi="Arial" w:cs="Arial"/>
          <w:b/>
          <w:bCs/>
          <w:sz w:val="24"/>
          <w:szCs w:val="24"/>
          <w:u w:color="000000"/>
          <w:bdr w:val="nil"/>
          <w:lang w:eastAsia="es-MX"/>
        </w:rPr>
        <w:t>DE LAS SANCIONES</w:t>
      </w:r>
    </w:p>
    <w:p w14:paraId="5B5A040E" w14:textId="77777777" w:rsidR="00E85802" w:rsidRPr="003407F9"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275A733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bCs/>
          <w:sz w:val="24"/>
          <w:szCs w:val="24"/>
          <w:u w:color="000000"/>
          <w:bdr w:val="nil"/>
          <w:lang w:eastAsia="es-MX"/>
        </w:rPr>
        <w:t>Artículo 144.</w:t>
      </w:r>
      <w:r w:rsidRPr="002E074E">
        <w:rPr>
          <w:rFonts w:ascii="Arial" w:hAnsi="Arial" w:cs="Arial"/>
          <w:bCs/>
          <w:sz w:val="24"/>
          <w:szCs w:val="24"/>
          <w:u w:color="000000"/>
          <w:bdr w:val="nil"/>
          <w:lang w:eastAsia="es-MX"/>
        </w:rPr>
        <w:t xml:space="preserve"> </w:t>
      </w:r>
      <w:r w:rsidRPr="002E074E">
        <w:rPr>
          <w:rFonts w:ascii="Arial" w:hAnsi="Arial" w:cs="Arial"/>
          <w:sz w:val="24"/>
          <w:szCs w:val="24"/>
          <w:u w:color="000000"/>
          <w:bdr w:val="nil"/>
          <w:lang w:eastAsia="es-MX"/>
        </w:rPr>
        <w:t>Si la conducta prevista en el artículo anterior se repite en más de dos ocasiones de manera consecutiva, tratándose de Servidores Públicos, el infractor será suspendido por un periodo de hasta seis meses.</w:t>
      </w:r>
    </w:p>
    <w:p w14:paraId="5402CE8F"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0ABB2C07"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8D7413">
        <w:rPr>
          <w:rFonts w:ascii="Arial" w:hAnsi="Arial" w:cs="Arial"/>
          <w:b/>
          <w:bCs/>
          <w:sz w:val="24"/>
          <w:szCs w:val="24"/>
          <w:u w:color="000000"/>
          <w:bdr w:val="nil"/>
          <w:lang w:eastAsia="es-MX"/>
        </w:rPr>
        <w:t>Artículo *145.</w:t>
      </w:r>
      <w:r w:rsidRPr="008D7413">
        <w:rPr>
          <w:rFonts w:ascii="Arial" w:hAnsi="Arial" w:cs="Arial"/>
          <w:sz w:val="24"/>
          <w:szCs w:val="24"/>
          <w:u w:color="000000"/>
          <w:bdr w:val="nil"/>
          <w:lang w:eastAsia="es-MX"/>
        </w:rPr>
        <w:t xml:space="preserve"> </w:t>
      </w:r>
      <w:r w:rsidRPr="008D7413">
        <w:rPr>
          <w:rFonts w:ascii="Arial" w:eastAsia="Times New Roman" w:hAnsi="Arial" w:cs="Arial"/>
          <w:bCs/>
          <w:sz w:val="24"/>
          <w:szCs w:val="24"/>
          <w:u w:color="000000"/>
          <w:bdr w:val="nil"/>
          <w:lang w:val="es-ES" w:eastAsia="es-ES"/>
        </w:rPr>
        <w:t xml:space="preserve">Tratándose de lo previsto en las fracciones I, IV, VII, X, XI, XII y XIII, XIX del artículo 143 se aplicarán como sanción multa de cien a mil quinientos </w:t>
      </w:r>
      <w:r w:rsidRPr="008D7413">
        <w:rPr>
          <w:rFonts w:ascii="Arial" w:eastAsia="Times New Roman" w:hAnsi="Arial" w:cs="Arial"/>
          <w:bCs/>
          <w:sz w:val="24"/>
          <w:szCs w:val="24"/>
          <w:lang w:val="es-ES" w:eastAsia="es-ES"/>
        </w:rPr>
        <w:t>veces el valor diario de la Unidad de Medida y Actualización</w:t>
      </w:r>
      <w:r w:rsidRPr="008D7413">
        <w:rPr>
          <w:rFonts w:ascii="Arial" w:eastAsia="Times New Roman" w:hAnsi="Arial" w:cs="Arial"/>
          <w:bCs/>
          <w:sz w:val="24"/>
          <w:szCs w:val="24"/>
          <w:u w:color="000000"/>
          <w:bdr w:val="nil"/>
          <w:lang w:val="es-ES" w:eastAsia="es-ES"/>
        </w:rPr>
        <w:t>. En caso de reincidencia tratándose de entidades públicas podrá ser suspendido del cargo sin goce de sueldo hasta por treinta días naturales y de reiterarse el incumplimiento será sancionado con la destitución del cargo.</w:t>
      </w:r>
    </w:p>
    <w:p w14:paraId="4994C77C"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14:paraId="6BB5A9B3"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8D7413">
        <w:rPr>
          <w:rFonts w:ascii="Arial" w:hAnsi="Arial" w:cs="Arial"/>
          <w:b/>
          <w:bCs/>
          <w:sz w:val="20"/>
          <w:szCs w:val="20"/>
          <w:lang w:val="es-ES"/>
        </w:rPr>
        <w:t xml:space="preserve">REFORMA </w:t>
      </w:r>
      <w:proofErr w:type="gramStart"/>
      <w:r w:rsidRPr="008D7413">
        <w:rPr>
          <w:rFonts w:ascii="Arial" w:hAnsi="Arial" w:cs="Arial"/>
          <w:b/>
          <w:bCs/>
          <w:sz w:val="20"/>
          <w:szCs w:val="20"/>
          <w:lang w:val="es-ES"/>
        </w:rPr>
        <w:t>VIGENTE.-</w:t>
      </w:r>
      <w:proofErr w:type="gramEnd"/>
      <w:r w:rsidRPr="008D7413">
        <w:rPr>
          <w:rFonts w:ascii="Arial" w:hAnsi="Arial" w:cs="Arial"/>
          <w:bCs/>
          <w:sz w:val="20"/>
          <w:szCs w:val="20"/>
          <w:lang w:val="es-ES"/>
        </w:rPr>
        <w:t xml:space="preserve"> Reforma</w:t>
      </w:r>
      <w:r>
        <w:rPr>
          <w:rFonts w:ascii="Arial" w:hAnsi="Arial" w:cs="Arial"/>
          <w:bCs/>
          <w:sz w:val="20"/>
          <w:szCs w:val="20"/>
          <w:lang w:val="es-ES"/>
        </w:rPr>
        <w:t xml:space="preserve">do </w:t>
      </w:r>
      <w:r w:rsidRPr="008D7413">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8D7413">
        <w:rPr>
          <w:rFonts w:ascii="Arial" w:eastAsia="Times New Roman" w:hAnsi="Arial" w:cs="Arial"/>
          <w:b/>
          <w:bCs/>
          <w:sz w:val="20"/>
          <w:szCs w:val="20"/>
          <w:u w:color="000000"/>
          <w:bdr w:val="nil"/>
          <w:lang w:val="es-ES" w:eastAsia="es-ES"/>
        </w:rPr>
        <w:t xml:space="preserve">Antes decía: </w:t>
      </w:r>
      <w:r w:rsidRPr="008D7413">
        <w:rPr>
          <w:rFonts w:ascii="Arial" w:hAnsi="Arial" w:cs="Arial"/>
          <w:sz w:val="20"/>
          <w:szCs w:val="20"/>
          <w:u w:color="000000"/>
          <w:bdr w:val="nil"/>
          <w:lang w:eastAsia="es-MX"/>
        </w:rPr>
        <w:t xml:space="preserve">Tratándose de lo previsto en las fracciones I, IV, VII, X, XI, XII y XIII, XIX del artículo 143 se aplicarán como sanción multa de cien a mil quinientos días de salario mínimo vigente. En caso de reincidencia </w:t>
      </w:r>
      <w:r w:rsidRPr="008D7413">
        <w:rPr>
          <w:rFonts w:ascii="Arial" w:hAnsi="Arial" w:cs="Arial"/>
          <w:sz w:val="20"/>
          <w:szCs w:val="20"/>
          <w:u w:color="000000"/>
          <w:bdr w:val="nil"/>
          <w:lang w:eastAsia="es-MX"/>
        </w:rPr>
        <w:lastRenderedPageBreak/>
        <w:t>tratándose de entidades públicas podrá ser suspendido del cargo sin goce de sueldo hasta por treinta días naturales y de reiterarse el incumplimiento será sancionado con la destitución del cargo.</w:t>
      </w:r>
    </w:p>
    <w:p w14:paraId="333C2712"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5B3BEDF"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3407F9">
        <w:rPr>
          <w:rFonts w:ascii="Arial" w:hAnsi="Arial" w:cs="Arial"/>
          <w:b/>
          <w:bCs/>
          <w:sz w:val="24"/>
          <w:szCs w:val="24"/>
          <w:u w:color="000000"/>
          <w:bdr w:val="nil"/>
          <w:lang w:eastAsia="es-MX"/>
        </w:rPr>
        <w:t>Artículo 146.</w:t>
      </w:r>
      <w:r w:rsidRPr="002E074E">
        <w:rPr>
          <w:rFonts w:ascii="Arial" w:hAnsi="Arial" w:cs="Arial"/>
          <w:sz w:val="24"/>
          <w:szCs w:val="24"/>
          <w:u w:color="000000"/>
          <w:bdr w:val="nil"/>
          <w:lang w:eastAsia="es-MX"/>
        </w:rPr>
        <w:t xml:space="preserve"> El servidor público que no cumpla de manera expedita las resoluciones del Instituto para liberar información en los términos y condiciones que establece esta Ley, será suspendido del cargo sin goce de sueldo, hasta por treinta días naturales.</w:t>
      </w:r>
    </w:p>
    <w:p w14:paraId="7BAE48F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832821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caso de reiterarse el incumplimiento podrá ser inhabilitado para ocupar cargos públicos por un periodo de uno a diez años. </w:t>
      </w:r>
    </w:p>
    <w:p w14:paraId="74B5ECD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24C0CAA"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E9794F">
        <w:rPr>
          <w:rFonts w:ascii="Arial" w:hAnsi="Arial" w:cs="Arial"/>
          <w:b/>
          <w:bCs/>
          <w:sz w:val="24"/>
          <w:szCs w:val="24"/>
          <w:u w:color="000000"/>
          <w:bdr w:val="nil"/>
          <w:lang w:eastAsia="es-MX"/>
        </w:rPr>
        <w:t>Artículo *147.</w:t>
      </w:r>
      <w:r w:rsidRPr="00E9794F">
        <w:rPr>
          <w:rFonts w:ascii="Arial" w:hAnsi="Arial" w:cs="Arial"/>
          <w:sz w:val="24"/>
          <w:szCs w:val="24"/>
          <w:u w:color="000000"/>
          <w:bdr w:val="nil"/>
          <w:lang w:eastAsia="es-MX"/>
        </w:rPr>
        <w:t xml:space="preserve"> </w:t>
      </w:r>
      <w:r w:rsidRPr="00E9794F">
        <w:rPr>
          <w:rFonts w:ascii="Arial" w:eastAsia="Times New Roman" w:hAnsi="Arial" w:cs="Arial"/>
          <w:bCs/>
          <w:sz w:val="24"/>
          <w:szCs w:val="24"/>
          <w:u w:color="000000"/>
          <w:bdr w:val="nil"/>
          <w:lang w:val="es-ES" w:eastAsia="es-ES"/>
        </w:rPr>
        <w:t xml:space="preserve">Al que recabe datos personales que no resulten indispensables para el cumplimiento de sus funciones, será sancionado con multa de mil a mil quinientas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w:t>
      </w:r>
    </w:p>
    <w:p w14:paraId="3A8E825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82B205F"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reincidencia podrá ser suspendido hasta por sesenta días y en caso de reiterar el incumplimiento podrá ser destituido del cargo.</w:t>
      </w:r>
    </w:p>
    <w:p w14:paraId="7985A20B"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14:paraId="16A66F6B" w14:textId="77777777" w:rsidR="00E85802" w:rsidRPr="00E9794F" w:rsidRDefault="00E85802" w:rsidP="00E85802">
      <w:pPr>
        <w:pBdr>
          <w:top w:val="nil"/>
          <w:left w:val="nil"/>
          <w:bottom w:val="nil"/>
          <w:right w:val="nil"/>
          <w:between w:val="nil"/>
          <w:bar w:val="nil"/>
        </w:pBdr>
        <w:spacing w:after="0" w:line="240" w:lineRule="auto"/>
        <w:jc w:val="both"/>
        <w:rPr>
          <w:rFonts w:ascii="Arial" w:eastAsia="Times New Roman" w:hAnsi="Arial" w:cs="Arial"/>
          <w:b/>
          <w:bCs/>
          <w:sz w:val="20"/>
          <w:szCs w:val="20"/>
          <w:u w:color="000000"/>
          <w:bdr w:val="nil"/>
          <w:lang w:val="es-ES" w:eastAsia="es-ES"/>
        </w:rPr>
      </w:pPr>
      <w:r w:rsidRPr="00E9794F">
        <w:rPr>
          <w:rFonts w:ascii="Arial" w:hAnsi="Arial" w:cs="Arial"/>
          <w:b/>
          <w:bCs/>
          <w:sz w:val="20"/>
          <w:szCs w:val="20"/>
          <w:lang w:val="es-ES"/>
        </w:rPr>
        <w:t xml:space="preserve">REFORMA </w:t>
      </w:r>
      <w:proofErr w:type="gramStart"/>
      <w:r w:rsidRPr="00E9794F">
        <w:rPr>
          <w:rFonts w:ascii="Arial" w:hAnsi="Arial" w:cs="Arial"/>
          <w:b/>
          <w:bCs/>
          <w:sz w:val="20"/>
          <w:szCs w:val="20"/>
          <w:lang w:val="es-ES"/>
        </w:rPr>
        <w:t>VIGENTE.-</w:t>
      </w:r>
      <w:proofErr w:type="gramEnd"/>
      <w:r w:rsidRPr="00E9794F">
        <w:rPr>
          <w:rFonts w:ascii="Arial" w:hAnsi="Arial" w:cs="Arial"/>
          <w:bCs/>
          <w:sz w:val="20"/>
          <w:szCs w:val="20"/>
          <w:lang 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Antes decía:</w:t>
      </w:r>
      <w:r w:rsidRPr="00E9794F">
        <w:rPr>
          <w:rFonts w:ascii="Arial" w:hAnsi="Arial" w:cs="Arial"/>
          <w:sz w:val="20"/>
          <w:szCs w:val="20"/>
          <w:u w:color="000000"/>
          <w:bdr w:val="nil"/>
          <w:lang w:eastAsia="es-MX"/>
        </w:rPr>
        <w:t xml:space="preserve"> Al que recabe datos personales que no resulten indispensables para el cumplimiento de sus funciones, será sancionado con multa de mil a mil quinientos días de salario mínimo vigente.</w:t>
      </w:r>
    </w:p>
    <w:p w14:paraId="0A0D133F"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32A81448" w14:textId="77777777" w:rsidR="00E85802" w:rsidRPr="00E9794F"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4"/>
          <w:szCs w:val="24"/>
          <w:u w:color="000000"/>
          <w:bdr w:val="nil"/>
          <w:lang w:val="es-ES" w:eastAsia="es-ES"/>
        </w:rPr>
      </w:pPr>
      <w:r w:rsidRPr="00E9794F">
        <w:rPr>
          <w:rFonts w:ascii="Arial" w:hAnsi="Arial" w:cs="Arial"/>
          <w:b/>
          <w:bCs/>
          <w:sz w:val="24"/>
          <w:szCs w:val="24"/>
          <w:u w:color="000000"/>
          <w:bdr w:val="nil"/>
          <w:lang w:eastAsia="es-MX"/>
        </w:rPr>
        <w:t>Artículo *148.</w:t>
      </w:r>
      <w:r w:rsidRPr="00E9794F">
        <w:rPr>
          <w:rFonts w:ascii="Arial" w:hAnsi="Arial" w:cs="Arial"/>
          <w:sz w:val="24"/>
          <w:szCs w:val="24"/>
          <w:u w:color="000000"/>
          <w:bdr w:val="nil"/>
          <w:lang w:eastAsia="es-MX"/>
        </w:rPr>
        <w:t xml:space="preserve"> </w:t>
      </w:r>
      <w:r w:rsidRPr="00E9794F">
        <w:rPr>
          <w:rFonts w:ascii="Arial" w:eastAsia="Times New Roman" w:hAnsi="Arial" w:cs="Arial"/>
          <w:bCs/>
          <w:sz w:val="24"/>
          <w:szCs w:val="24"/>
          <w:u w:color="000000"/>
          <w:bdr w:val="nil"/>
          <w:lang w:val="es-ES" w:eastAsia="es-ES"/>
        </w:rPr>
        <w:t xml:space="preserve">Al Sujeto Obligado que comercialice con datos personales que obren en los archivos a su alcance, será sancionado con multa de mil quinientas a dos mil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e inhabilitado para ocupar cargos públicos en cualquiera de los Poderes del Estado y cualquiera de sus Municipios o sus entidades descentralizadas por un período de uno a diez años.</w:t>
      </w:r>
    </w:p>
    <w:p w14:paraId="751ED110"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14:paraId="3A475AE2"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b/>
          <w:bCs/>
          <w:sz w:val="20"/>
          <w:szCs w:val="20"/>
          <w:lang w:val="es-ES"/>
        </w:rPr>
        <w:t xml:space="preserve">REFORMA </w:t>
      </w:r>
      <w:proofErr w:type="gramStart"/>
      <w:r w:rsidRPr="00E9794F">
        <w:rPr>
          <w:rFonts w:ascii="Arial" w:hAnsi="Arial" w:cs="Arial"/>
          <w:b/>
          <w:bCs/>
          <w:sz w:val="20"/>
          <w:szCs w:val="20"/>
          <w:lang w:val="es-ES"/>
        </w:rPr>
        <w:t>VIGENTE.-</w:t>
      </w:r>
      <w:proofErr w:type="gramEnd"/>
      <w:r w:rsidRPr="00E9794F">
        <w:rPr>
          <w:rFonts w:ascii="Arial" w:hAnsi="Arial" w:cs="Arial"/>
          <w:bCs/>
          <w:sz w:val="20"/>
          <w:szCs w:val="20"/>
          <w:lang 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 xml:space="preserve">Antes decía: </w:t>
      </w:r>
      <w:r w:rsidRPr="00E9794F">
        <w:rPr>
          <w:rFonts w:ascii="Arial" w:hAnsi="Arial" w:cs="Arial"/>
          <w:sz w:val="20"/>
          <w:szCs w:val="20"/>
          <w:u w:color="000000"/>
          <w:bdr w:val="nil"/>
          <w:lang w:eastAsia="es-MX"/>
        </w:rPr>
        <w:t>Al Sujeto Obligado que comercialice con datos personales que obren en los archivos a su alcance, será sancionado con multa de mil quinientos a dos mil días de salario mínimo vigente; e inhabilitado para ocupar cargos públicos en cualquiera de los Poderes del Estado y cualquiera de sus Municipios o sus entidades descentralizadas por un período de uno a diez años.</w:t>
      </w:r>
    </w:p>
    <w:p w14:paraId="5E76648B"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7EFC1D88"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E9794F">
        <w:rPr>
          <w:rFonts w:ascii="Arial" w:hAnsi="Arial" w:cs="Arial"/>
          <w:b/>
          <w:bCs/>
          <w:sz w:val="24"/>
          <w:szCs w:val="24"/>
          <w:u w:color="000000"/>
          <w:bdr w:val="nil"/>
          <w:lang w:eastAsia="es-MX"/>
        </w:rPr>
        <w:t>Artículo *149.</w:t>
      </w:r>
      <w:r w:rsidRPr="00E9794F">
        <w:rPr>
          <w:rFonts w:ascii="Arial" w:hAnsi="Arial" w:cs="Arial"/>
          <w:sz w:val="24"/>
          <w:szCs w:val="24"/>
          <w:u w:color="000000"/>
          <w:bdr w:val="nil"/>
          <w:lang w:eastAsia="es-MX"/>
        </w:rPr>
        <w:t xml:space="preserve"> </w:t>
      </w:r>
      <w:r w:rsidRPr="00E9794F">
        <w:rPr>
          <w:rFonts w:ascii="Arial" w:eastAsia="Times New Roman" w:hAnsi="Arial" w:cs="Arial"/>
          <w:bCs/>
          <w:sz w:val="24"/>
          <w:szCs w:val="24"/>
          <w:u w:color="000000"/>
          <w:bdr w:val="nil"/>
          <w:lang w:val="es-ES" w:eastAsia="es-ES"/>
        </w:rPr>
        <w:t xml:space="preserve">Tratándose de entidades públicas, el Sujeto Obligado que reiteradamente incurra en cualquiera de las conductas previstas en el artículo 143 </w:t>
      </w:r>
      <w:r w:rsidRPr="00E9794F">
        <w:rPr>
          <w:rFonts w:ascii="Arial" w:eastAsia="Times New Roman" w:hAnsi="Arial" w:cs="Arial"/>
          <w:bCs/>
          <w:sz w:val="24"/>
          <w:szCs w:val="24"/>
          <w:u w:color="000000"/>
          <w:bdr w:val="nil"/>
          <w:lang w:val="es-ES" w:eastAsia="es-ES"/>
        </w:rPr>
        <w:lastRenderedPageBreak/>
        <w:t xml:space="preserve">de esta Ley y que no tenga establecida sanción, se aplicará multa de doscientas a quinientas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En caso de reincidencia podrá ser suspendido del cargo hasta por sesenta días.</w:t>
      </w:r>
    </w:p>
    <w:p w14:paraId="2905DFF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16E06C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lo conducente la responsabilidad a que se refiere este artículo será sancionada en los términos de la Ley Estatal de Responsabilidades de los Servidores Públicos. </w:t>
      </w:r>
    </w:p>
    <w:p w14:paraId="550710C1"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14:paraId="0B1A9DC0"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b/>
          <w:bCs/>
          <w:sz w:val="20"/>
          <w:szCs w:val="20"/>
          <w:lang w:val="es-ES"/>
        </w:rPr>
        <w:t xml:space="preserve">REFORMA </w:t>
      </w:r>
      <w:proofErr w:type="gramStart"/>
      <w:r w:rsidRPr="00E9794F">
        <w:rPr>
          <w:rFonts w:ascii="Arial" w:hAnsi="Arial" w:cs="Arial"/>
          <w:b/>
          <w:bCs/>
          <w:sz w:val="20"/>
          <w:szCs w:val="20"/>
          <w:lang w:val="es-ES"/>
        </w:rPr>
        <w:t>VIGENTE.-</w:t>
      </w:r>
      <w:proofErr w:type="gramEnd"/>
      <w:r w:rsidRPr="00E9794F">
        <w:rPr>
          <w:rFonts w:ascii="Arial" w:hAnsi="Arial" w:cs="Arial"/>
          <w:bCs/>
          <w:sz w:val="20"/>
          <w:szCs w:val="20"/>
          <w:lang 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 xml:space="preserve">Antes decía: </w:t>
      </w:r>
      <w:r w:rsidRPr="00E9794F">
        <w:rPr>
          <w:rFonts w:ascii="Arial" w:hAnsi="Arial" w:cs="Arial"/>
          <w:sz w:val="20"/>
          <w:szCs w:val="20"/>
          <w:u w:color="000000"/>
          <w:bdr w:val="nil"/>
          <w:lang w:eastAsia="es-MX"/>
        </w:rPr>
        <w:t>Tratándose de entidades públicas, el Sujeto Obligado que reiteradamente incurra en cualquiera de las conductas previstas en el artículo 143 de esta Ley y que no tenga establecida sanción, se aplicará multa de doscientos a quinientos salarios mínimos vigentes. En caso de reincidencia podrá ser suspendido del cargo hasta por sesenta días.</w:t>
      </w:r>
    </w:p>
    <w:p w14:paraId="172275D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010721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150.</w:t>
      </w:r>
      <w:r w:rsidRPr="002E074E">
        <w:rPr>
          <w:rFonts w:ascii="Arial" w:hAnsi="Arial" w:cs="Arial"/>
          <w:sz w:val="24"/>
          <w:szCs w:val="24"/>
          <w:u w:color="000000"/>
          <w:bdr w:val="nil"/>
          <w:lang w:eastAsia="es-MX"/>
        </w:rPr>
        <w:t xml:space="preserve"> Las responsabilidades que se generen por el incumplimiento de las obligaciones a que se refiere esta Ley, son independientes de las que procedan en el orden civil o penal.</w:t>
      </w:r>
    </w:p>
    <w:p w14:paraId="31F55E7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D356547"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151.</w:t>
      </w:r>
      <w:r w:rsidRPr="002E074E">
        <w:rPr>
          <w:rFonts w:ascii="Arial" w:hAnsi="Arial" w:cs="Arial"/>
          <w:sz w:val="24"/>
          <w:szCs w:val="24"/>
          <w:u w:color="000000"/>
          <w:bdr w:val="nil"/>
          <w:lang w:eastAsia="es-MX"/>
        </w:rPr>
        <w:t xml:space="preserve"> En lo conducente se aplicará de forma supletoria la Ley Estatal de Responsabilidades de los Servidores Públicos y el Código Procesal Civil para el Estado Libre y Soberano de Morelos. </w:t>
      </w:r>
    </w:p>
    <w:p w14:paraId="747B262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373FD2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152.</w:t>
      </w:r>
      <w:r w:rsidRPr="002E074E">
        <w:rPr>
          <w:rFonts w:ascii="Arial" w:hAnsi="Arial" w:cs="Arial"/>
          <w:sz w:val="24"/>
          <w:szCs w:val="24"/>
          <w:u w:color="000000"/>
          <w:bdr w:val="nil"/>
          <w:lang w:eastAsia="es-MX"/>
        </w:rPr>
        <w:t xml:space="preserve"> Ante incumplimientos en materia de transparencia y acceso a la información por parte de los Partidos Políticos, el Instituto dará vista, al Instituto Morelense de Procesos Electorales y Participación Ciudadana, para que resuelva lo conducente, sin perjuicio de las sanciones establecidas para los Partidos Políticos en las leyes aplicables.  </w:t>
      </w:r>
    </w:p>
    <w:p w14:paraId="03C3068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BDD2DB8"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se trate de Partidos Políticos se le podrán aplicar las multas respectivas, pero éstas se harán descontándose de sus prerrogativas los importes correspondientes, dichas multas podrán duplicarse en caso de reincidencia; asimismo, el Instituto dará vista al Instituto Morelense de Procesos Electorales y Participación Ciudadana, para efecto que tome las medidas pertinentes.</w:t>
      </w:r>
    </w:p>
    <w:p w14:paraId="1F2FE827"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BE9E0D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 xml:space="preserve">En el caso de probables infracciones relacionadas con fideicomisos o fondos públicos, sindicatos o personas físicas o morales que reciban y ejerzan recursos públicos o realicen actos de autoridad, el Instituto deberá dar vista al órgano interno </w:t>
      </w:r>
      <w:r w:rsidRPr="002E074E">
        <w:rPr>
          <w:rFonts w:ascii="Arial" w:hAnsi="Arial" w:cs="Arial"/>
          <w:sz w:val="24"/>
          <w:szCs w:val="24"/>
          <w:u w:color="000000"/>
          <w:bdr w:val="nil"/>
          <w:lang w:eastAsia="es-MX"/>
        </w:rPr>
        <w:lastRenderedPageBreak/>
        <w:t xml:space="preserve">de control del Sujeto Obligado relacionado con estos, cuando sean Servidores Públicos, con el fin de que instrumenten los procedimientos administrativos a que haya lugar.  </w:t>
      </w:r>
    </w:p>
    <w:p w14:paraId="26631BD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4330572E"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153.</w:t>
      </w:r>
      <w:r w:rsidRPr="002E074E">
        <w:rPr>
          <w:rFonts w:ascii="Arial" w:hAnsi="Arial" w:cs="Arial"/>
          <w:sz w:val="24"/>
          <w:szCs w:val="24"/>
          <w:u w:color="000000"/>
          <w:bdr w:val="nil"/>
          <w:lang w:eastAsia="es-MX"/>
        </w:rPr>
        <w:t xml:space="preserve"> Las personas físicas o morales que reciban y ejerzan recursos públicos o ejerzan actos de autoridad deberán proporcionar la información que permita al sujeto obligado que corresponda, cumplir con sus obligaciones de trasparencia y para atender las solicitudes de acceso correspondientes.</w:t>
      </w:r>
    </w:p>
    <w:p w14:paraId="308D6983"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C158C5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154.</w:t>
      </w:r>
      <w:r w:rsidRPr="002E074E">
        <w:rPr>
          <w:rFonts w:ascii="Arial" w:hAnsi="Arial" w:cs="Arial"/>
          <w:sz w:val="24"/>
          <w:szCs w:val="24"/>
          <w:u w:color="000000"/>
          <w:bdr w:val="nil"/>
          <w:lang w:eastAsia="es-MX"/>
        </w:rPr>
        <w:t xml:space="preserve"> En aquellos casos en que el presunto infractor tenga la calidad de Servidor Público, el Instituto deberá remitir a la autoridad competente, junto con la denuncia correspondiente, un expediente en que se contengan todos los elementos que sustenten la presunta responsabilidad administrativa.</w:t>
      </w:r>
    </w:p>
    <w:p w14:paraId="21B6104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09BDE8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La autoridad que conozca del asunto deberá informar de la conclusión del procedimiento y en su caso, de la ejecución de la sanción al Instituto.</w:t>
      </w:r>
    </w:p>
    <w:p w14:paraId="56B5576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5E7139E" w14:textId="77777777" w:rsidR="00E85802" w:rsidRPr="0056155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56155E">
        <w:rPr>
          <w:rFonts w:ascii="Arial" w:hAnsi="Arial" w:cs="Arial"/>
          <w:b/>
          <w:bCs/>
          <w:sz w:val="24"/>
          <w:szCs w:val="24"/>
          <w:u w:color="000000"/>
          <w:bdr w:val="nil"/>
          <w:lang w:eastAsia="es-MX"/>
        </w:rPr>
        <w:t>CAPÍTULO III</w:t>
      </w:r>
    </w:p>
    <w:p w14:paraId="0CE837EB" w14:textId="77777777" w:rsidR="00E85802" w:rsidRPr="0056155E" w:rsidRDefault="00E85802" w:rsidP="00E85802">
      <w:pPr>
        <w:pBdr>
          <w:top w:val="nil"/>
          <w:left w:val="nil"/>
          <w:bottom w:val="nil"/>
          <w:right w:val="nil"/>
          <w:between w:val="nil"/>
          <w:bar w:val="nil"/>
        </w:pBdr>
        <w:spacing w:after="0" w:line="240" w:lineRule="auto"/>
        <w:jc w:val="center"/>
        <w:rPr>
          <w:rFonts w:ascii="Arial" w:hAnsi="Arial" w:cs="Arial"/>
          <w:b/>
          <w:bCs/>
          <w:sz w:val="24"/>
          <w:szCs w:val="24"/>
          <w:u w:color="000000"/>
          <w:bdr w:val="nil"/>
          <w:lang w:eastAsia="es-MX"/>
        </w:rPr>
      </w:pPr>
      <w:r w:rsidRPr="0056155E">
        <w:rPr>
          <w:rFonts w:ascii="Arial" w:hAnsi="Arial" w:cs="Arial"/>
          <w:b/>
          <w:bCs/>
          <w:sz w:val="24"/>
          <w:szCs w:val="24"/>
          <w:u w:color="000000"/>
          <w:bdr w:val="nil"/>
          <w:lang w:eastAsia="es-MX"/>
        </w:rPr>
        <w:t>DEL PROCEDIMIENTO DE SANCIÓN DE SUJETOS OBLIGADOS QUE NO CUENTEN CON LA CALIDAD DE SERVIDOR PÚBLICO</w:t>
      </w:r>
    </w:p>
    <w:p w14:paraId="43B5E998" w14:textId="77777777" w:rsidR="00E85802" w:rsidRPr="0056155E" w:rsidRDefault="00E85802" w:rsidP="00E85802">
      <w:pPr>
        <w:pBdr>
          <w:top w:val="nil"/>
          <w:left w:val="nil"/>
          <w:bottom w:val="nil"/>
          <w:right w:val="nil"/>
          <w:between w:val="nil"/>
          <w:bar w:val="nil"/>
        </w:pBdr>
        <w:spacing w:after="0" w:line="240" w:lineRule="auto"/>
        <w:jc w:val="both"/>
        <w:rPr>
          <w:rFonts w:ascii="Arial" w:hAnsi="Arial" w:cs="Arial"/>
          <w:b/>
          <w:bCs/>
          <w:sz w:val="24"/>
          <w:szCs w:val="24"/>
          <w:u w:color="000000"/>
          <w:bdr w:val="nil"/>
          <w:lang w:eastAsia="es-MX"/>
        </w:rPr>
      </w:pPr>
    </w:p>
    <w:p w14:paraId="34CF410A"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56155E">
        <w:rPr>
          <w:rFonts w:ascii="Arial" w:hAnsi="Arial" w:cs="Arial"/>
          <w:b/>
          <w:bCs/>
          <w:sz w:val="24"/>
          <w:szCs w:val="24"/>
          <w:u w:color="000000"/>
          <w:bdr w:val="nil"/>
          <w:lang w:eastAsia="es-MX"/>
        </w:rPr>
        <w:t>Artículo 155.</w:t>
      </w:r>
      <w:r w:rsidRPr="002E074E">
        <w:rPr>
          <w:rFonts w:ascii="Arial" w:hAnsi="Arial" w:cs="Arial"/>
          <w:sz w:val="24"/>
          <w:szCs w:val="24"/>
          <w:u w:color="000000"/>
          <w:bdr w:val="nil"/>
          <w:lang w:eastAsia="es-MX"/>
        </w:rPr>
        <w:t xml:space="preserve"> Cuando se trate de presuntos infractores Sujetos Obligados que no cuenten con la calidad de Servidor Público, el Instituto será la autoridad facultada para conocer y desahogar el procedimiento sancionatorio conforme a esta Ley y deberá llevar a cabo las acciones conducentes para la imposición y ejecución de las sanciones.</w:t>
      </w:r>
    </w:p>
    <w:p w14:paraId="0DFEE7CA"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070EEAF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716F7">
        <w:rPr>
          <w:rFonts w:ascii="Arial" w:hAnsi="Arial" w:cs="Arial"/>
          <w:b/>
          <w:bCs/>
          <w:sz w:val="24"/>
          <w:szCs w:val="24"/>
          <w:u w:color="000000"/>
          <w:bdr w:val="nil"/>
          <w:lang w:eastAsia="es-MX"/>
        </w:rPr>
        <w:t>Artículo 156.</w:t>
      </w:r>
      <w:r w:rsidRPr="002E074E">
        <w:rPr>
          <w:rFonts w:ascii="Arial" w:hAnsi="Arial" w:cs="Arial"/>
          <w:sz w:val="24"/>
          <w:szCs w:val="24"/>
          <w:u w:color="000000"/>
          <w:bdr w:val="nil"/>
          <w:lang w:eastAsia="es-MX"/>
        </w:rPr>
        <w:t xml:space="preserve"> El procedimiento a que se refiere el artículo anterior dará comienzo con la notificación que efectúe el Instituto al presunto infractor, sobre los hechos e imputaciones que motivaron el inicio del procedimiento y le otorgará un término de quince días para que rinda pruebas y manifieste por escrito lo que a su derecho convenga. </w:t>
      </w:r>
    </w:p>
    <w:p w14:paraId="6259544E"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8042C39"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En caso de no hacerlo, el Instituto, de inmediato, resolverá con los elementos de convicción que disponga.</w:t>
      </w:r>
    </w:p>
    <w:p w14:paraId="73215228"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6059C55C"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lastRenderedPageBreak/>
        <w:t>El Instituto admitirá las pruebas que estime pertinentes y procederá a su desahogo; y concluido que esto sea, notificará al presunto infractor el derecho que le asiste para que, de considerarlo necesario, presente sus alegatos dentro de los cinco días siguientes a su notificación.</w:t>
      </w:r>
    </w:p>
    <w:p w14:paraId="6EF54BF0"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36F172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Una vez analizadas las pruebas y demás elementos de convicción, el Instituto, resolverá, en definitiva, dentro de los treinta días siguientes a la fecha en que inició el procedimiento sancionador. Dicha resolución deberá ser notificada al presunto infractor y, dentro de los diez días siguientes a la notificación, se hará pública la resolución correspondiente.</w:t>
      </w:r>
    </w:p>
    <w:p w14:paraId="67D7C21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5B3D58B9"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Cuando haya causa justificada, por acuerdo indelegable del Pleno del Instituto, podrá ampliar por una sola vez y hasta por un periodo igual el plazo de resolución.</w:t>
      </w:r>
    </w:p>
    <w:p w14:paraId="5B819AC8" w14:textId="77777777" w:rsidR="00E85802" w:rsidRDefault="00E85802" w:rsidP="00E85802">
      <w:pPr>
        <w:pBdr>
          <w:top w:val="nil"/>
          <w:left w:val="nil"/>
          <w:bottom w:val="nil"/>
          <w:right w:val="nil"/>
          <w:between w:val="nil"/>
          <w:bar w:val="nil"/>
        </w:pBdr>
        <w:spacing w:after="0" w:line="240" w:lineRule="auto"/>
        <w:jc w:val="both"/>
        <w:rPr>
          <w:rFonts w:ascii="Arial" w:hAnsi="Arial" w:cs="Arial"/>
          <w:bCs/>
          <w:sz w:val="24"/>
          <w:szCs w:val="24"/>
          <w:u w:color="000000"/>
          <w:bdr w:val="nil"/>
          <w:lang w:eastAsia="es-MX"/>
        </w:rPr>
      </w:pPr>
    </w:p>
    <w:p w14:paraId="161BC1E0"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716F7">
        <w:rPr>
          <w:rFonts w:ascii="Arial" w:hAnsi="Arial" w:cs="Arial"/>
          <w:b/>
          <w:bCs/>
          <w:sz w:val="24"/>
          <w:szCs w:val="24"/>
          <w:u w:color="000000"/>
          <w:bdr w:val="nil"/>
          <w:lang w:eastAsia="es-MX"/>
        </w:rPr>
        <w:t>Artículo 157.</w:t>
      </w:r>
      <w:r w:rsidRPr="002E074E">
        <w:rPr>
          <w:rFonts w:ascii="Arial" w:hAnsi="Arial" w:cs="Arial"/>
          <w:sz w:val="24"/>
          <w:szCs w:val="24"/>
          <w:u w:color="000000"/>
          <w:bdr w:val="nil"/>
          <w:lang w:eastAsia="es-MX"/>
        </w:rPr>
        <w:t xml:space="preserve"> Para llevar a cabo el procedimiento sancionador, se aplicará de manera supletoria lo dispuesto la Ley del Procedimiento Administrativo para el Estado de Morelos.</w:t>
      </w:r>
    </w:p>
    <w:p w14:paraId="41E97256"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33D41D6B"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r w:rsidRPr="006716F7">
        <w:rPr>
          <w:rFonts w:ascii="Arial" w:hAnsi="Arial" w:cs="Arial"/>
          <w:b/>
          <w:bCs/>
          <w:sz w:val="24"/>
          <w:szCs w:val="24"/>
          <w:u w:color="000000"/>
          <w:bdr w:val="nil"/>
          <w:lang w:eastAsia="es-MX"/>
        </w:rPr>
        <w:t xml:space="preserve">Artículo </w:t>
      </w:r>
      <w:r>
        <w:rPr>
          <w:rFonts w:ascii="Arial" w:hAnsi="Arial" w:cs="Arial"/>
          <w:b/>
          <w:bCs/>
          <w:sz w:val="24"/>
          <w:szCs w:val="24"/>
          <w:u w:color="000000"/>
          <w:bdr w:val="nil"/>
          <w:lang w:eastAsia="es-MX"/>
        </w:rPr>
        <w:t>*</w:t>
      </w:r>
      <w:r w:rsidRPr="006716F7">
        <w:rPr>
          <w:rFonts w:ascii="Arial" w:hAnsi="Arial" w:cs="Arial"/>
          <w:b/>
          <w:bCs/>
          <w:sz w:val="24"/>
          <w:szCs w:val="24"/>
          <w:u w:color="000000"/>
          <w:bdr w:val="nil"/>
          <w:lang w:eastAsia="es-MX"/>
        </w:rPr>
        <w:t>158.</w:t>
      </w:r>
      <w:r w:rsidRPr="002E074E">
        <w:rPr>
          <w:rFonts w:ascii="Arial" w:hAnsi="Arial" w:cs="Arial"/>
          <w:sz w:val="24"/>
          <w:szCs w:val="24"/>
          <w:u w:color="000000"/>
          <w:bdr w:val="nil"/>
          <w:lang w:eastAsia="es-MX"/>
        </w:rPr>
        <w:t xml:space="preserve"> Las infracciones a lo previsto en la presente Ley por parte de Sujetos Obligados que no cuenten con la calidad de servidor público, serán sancionadas con:</w:t>
      </w:r>
    </w:p>
    <w:p w14:paraId="6B7952FB"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8716178" w14:textId="77777777" w:rsidR="00E85802" w:rsidRPr="002E074E" w:rsidRDefault="00E85802" w:rsidP="00E85802">
      <w:pPr>
        <w:pBdr>
          <w:top w:val="nil"/>
          <w:left w:val="nil"/>
          <w:bottom w:val="nil"/>
          <w:right w:val="nil"/>
          <w:between w:val="nil"/>
          <w:bar w:val="nil"/>
        </w:pBdr>
        <w:spacing w:after="0" w:line="240" w:lineRule="auto"/>
        <w:ind w:left="284"/>
        <w:jc w:val="both"/>
        <w:rPr>
          <w:rFonts w:ascii="Arial" w:hAnsi="Arial" w:cs="Arial"/>
          <w:sz w:val="24"/>
          <w:szCs w:val="24"/>
          <w:u w:color="000000"/>
          <w:bdr w:val="nil"/>
          <w:lang w:eastAsia="es-MX"/>
        </w:rPr>
      </w:pPr>
      <w:r w:rsidRPr="002E074E">
        <w:rPr>
          <w:rFonts w:ascii="Arial" w:hAnsi="Arial" w:cs="Arial"/>
          <w:sz w:val="24"/>
          <w:szCs w:val="24"/>
          <w:u w:color="000000"/>
          <w:bdr w:val="nil"/>
          <w:lang w:eastAsia="es-MX"/>
        </w:rPr>
        <w:t>I. El apercibimiento, por única ocasión, para que el Sujeto Obligado cumpla su obligación de manera inmediata, en los términos previstos en esta Ley, tratándose de los supuestos previstos en las fracciones I, III, V, VI y X del artículo 143 de esta Ley.</w:t>
      </w:r>
    </w:p>
    <w:p w14:paraId="20B4FCDB" w14:textId="77777777" w:rsidR="00E85802" w:rsidRPr="00E9794F" w:rsidRDefault="00E85802" w:rsidP="00E85802">
      <w:pPr>
        <w:pBdr>
          <w:top w:val="nil"/>
          <w:left w:val="nil"/>
          <w:bottom w:val="nil"/>
          <w:right w:val="nil"/>
          <w:between w:val="nil"/>
          <w:bar w:val="nil"/>
        </w:pBdr>
        <w:spacing w:after="0" w:line="240" w:lineRule="auto"/>
        <w:ind w:left="284"/>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Si una vez hecho el apercibimiento no se cumple de manera inmediata con la obligación, en los términos previstos en esta Ley, tratándose de los supuestos mencionados en esta fracción, se aplicará multa de ciento cincuenta a doscientas cincuenta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xml:space="preserve">; </w:t>
      </w:r>
    </w:p>
    <w:p w14:paraId="5A55233E" w14:textId="77777777" w:rsidR="00E85802" w:rsidRPr="00E9794F" w:rsidRDefault="00E85802" w:rsidP="00E85802">
      <w:pPr>
        <w:pBdr>
          <w:top w:val="nil"/>
          <w:left w:val="nil"/>
          <w:bottom w:val="nil"/>
          <w:right w:val="nil"/>
          <w:between w:val="nil"/>
          <w:bar w:val="nil"/>
        </w:pBdr>
        <w:spacing w:after="0" w:line="240" w:lineRule="auto"/>
        <w:ind w:left="284"/>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II. Multa de doscientas cincuenta a ochocientas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en los casos previstos en las fracciones II y IV del artículo 143 de esta Ley, y</w:t>
      </w:r>
    </w:p>
    <w:p w14:paraId="0F35D885" w14:textId="77777777" w:rsidR="00E85802" w:rsidRPr="00E9794F" w:rsidRDefault="00E85802" w:rsidP="00E85802">
      <w:pPr>
        <w:pBdr>
          <w:top w:val="nil"/>
          <w:left w:val="nil"/>
          <w:bottom w:val="nil"/>
          <w:right w:val="nil"/>
          <w:between w:val="nil"/>
          <w:bar w:val="nil"/>
        </w:pBdr>
        <w:spacing w:after="0" w:line="240" w:lineRule="auto"/>
        <w:ind w:left="284"/>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t xml:space="preserve">III. Multa de ochocientas a mil quinientas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en los casos previstos en las fracciones VII, VIII, IX, XI, XII, XIII, XIV, XV, XVI, XVII y XVIII del artículo 143 de esta Ley.</w:t>
      </w:r>
    </w:p>
    <w:p w14:paraId="2700BA0D" w14:textId="77777777" w:rsidR="00E85802" w:rsidRPr="00E9794F" w:rsidRDefault="00E85802" w:rsidP="00E85802">
      <w:pPr>
        <w:pBdr>
          <w:top w:val="nil"/>
          <w:left w:val="nil"/>
          <w:bottom w:val="nil"/>
          <w:right w:val="nil"/>
          <w:between w:val="nil"/>
          <w:bar w:val="nil"/>
        </w:pBdr>
        <w:spacing w:after="0" w:line="240" w:lineRule="auto"/>
        <w:jc w:val="both"/>
        <w:rPr>
          <w:rFonts w:ascii="Arial" w:eastAsia="Times New Roman" w:hAnsi="Arial" w:cs="Arial"/>
          <w:bCs/>
          <w:sz w:val="24"/>
          <w:szCs w:val="24"/>
          <w:u w:color="000000"/>
          <w:bdr w:val="nil"/>
          <w:lang w:val="es-ES" w:eastAsia="es-ES"/>
        </w:rPr>
      </w:pPr>
      <w:r w:rsidRPr="00E9794F">
        <w:rPr>
          <w:rFonts w:ascii="Arial" w:eastAsia="Times New Roman" w:hAnsi="Arial" w:cs="Arial"/>
          <w:bCs/>
          <w:sz w:val="24"/>
          <w:szCs w:val="24"/>
          <w:u w:color="000000"/>
          <w:bdr w:val="nil"/>
          <w:lang w:val="es-ES" w:eastAsia="es-ES"/>
        </w:rPr>
        <w:lastRenderedPageBreak/>
        <w:t xml:space="preserve">Se aplicará multa adicional de hasta cincuenta </w:t>
      </w:r>
      <w:r w:rsidRPr="00E9794F">
        <w:rPr>
          <w:rFonts w:ascii="Arial" w:eastAsia="Times New Roman" w:hAnsi="Arial" w:cs="Arial"/>
          <w:bCs/>
          <w:sz w:val="24"/>
          <w:szCs w:val="24"/>
          <w:lang w:val="es-ES" w:eastAsia="es-ES"/>
        </w:rPr>
        <w:t>veces el valor diario de la Unidad de Medida y Actualización</w:t>
      </w:r>
      <w:r w:rsidRPr="00E9794F">
        <w:rPr>
          <w:rFonts w:ascii="Arial" w:eastAsia="Times New Roman" w:hAnsi="Arial" w:cs="Arial"/>
          <w:bCs/>
          <w:sz w:val="24"/>
          <w:szCs w:val="24"/>
          <w:u w:color="000000"/>
          <w:bdr w:val="nil"/>
          <w:lang w:val="es-ES" w:eastAsia="es-ES"/>
        </w:rPr>
        <w:t>, por día, a quien persista en las infracciones citadas en las fracciones anteriores.</w:t>
      </w:r>
    </w:p>
    <w:p w14:paraId="61EE44B6" w14:textId="77777777" w:rsidR="00E85802" w:rsidRPr="008D7413" w:rsidRDefault="00E85802" w:rsidP="00E85802">
      <w:pPr>
        <w:pBdr>
          <w:top w:val="nil"/>
          <w:left w:val="nil"/>
          <w:bottom w:val="nil"/>
          <w:right w:val="nil"/>
          <w:between w:val="nil"/>
          <w:bar w:val="nil"/>
        </w:pBdr>
        <w:spacing w:after="0" w:line="240" w:lineRule="auto"/>
        <w:jc w:val="both"/>
        <w:rPr>
          <w:rFonts w:ascii="Arial" w:hAnsi="Arial" w:cs="Arial"/>
          <w:b/>
          <w:sz w:val="20"/>
          <w:szCs w:val="20"/>
          <w:u w:color="000000"/>
          <w:bdr w:val="nil"/>
          <w:lang w:eastAsia="es-MX"/>
        </w:rPr>
      </w:pPr>
      <w:r w:rsidRPr="008D7413">
        <w:rPr>
          <w:rFonts w:ascii="Arial" w:hAnsi="Arial" w:cs="Arial"/>
          <w:b/>
          <w:sz w:val="20"/>
          <w:szCs w:val="20"/>
          <w:u w:color="000000"/>
          <w:bdr w:val="nil"/>
          <w:lang w:eastAsia="es-MX"/>
        </w:rPr>
        <w:t>NOTAS:</w:t>
      </w:r>
    </w:p>
    <w:p w14:paraId="0CCED89B" w14:textId="77777777" w:rsidR="00E85802" w:rsidRPr="00E9794F" w:rsidRDefault="00E85802" w:rsidP="00E85802">
      <w:pPr>
        <w:widowControl w:val="0"/>
        <w:spacing w:after="0" w:line="240" w:lineRule="auto"/>
        <w:jc w:val="both"/>
        <w:rPr>
          <w:rFonts w:ascii="Arial" w:eastAsia="Times New Roman" w:hAnsi="Arial" w:cs="Arial"/>
          <w:sz w:val="20"/>
          <w:szCs w:val="20"/>
          <w:lang w:val="es-ES" w:eastAsia="es-ES"/>
        </w:rPr>
      </w:pPr>
      <w:r w:rsidRPr="00E9794F">
        <w:rPr>
          <w:rFonts w:ascii="Arial" w:hAnsi="Arial" w:cs="Arial"/>
          <w:b/>
          <w:bCs/>
          <w:sz w:val="20"/>
          <w:szCs w:val="20"/>
          <w:lang w:val="es-ES"/>
        </w:rPr>
        <w:t xml:space="preserve">REFORMA </w:t>
      </w:r>
      <w:proofErr w:type="gramStart"/>
      <w:r w:rsidRPr="00E9794F">
        <w:rPr>
          <w:rFonts w:ascii="Arial" w:hAnsi="Arial" w:cs="Arial"/>
          <w:b/>
          <w:bCs/>
          <w:sz w:val="20"/>
          <w:szCs w:val="20"/>
          <w:lang w:val="es-ES"/>
        </w:rPr>
        <w:t>VIGENTE.-</w:t>
      </w:r>
      <w:proofErr w:type="gramEnd"/>
      <w:r w:rsidRPr="00E9794F">
        <w:rPr>
          <w:rFonts w:ascii="Arial" w:hAnsi="Arial" w:cs="Arial"/>
          <w:bCs/>
          <w:sz w:val="20"/>
          <w:szCs w:val="20"/>
          <w:lang w:val="es-ES"/>
        </w:rPr>
        <w:t xml:space="preserve"> Reformad</w:t>
      </w:r>
      <w:r>
        <w:rPr>
          <w:rFonts w:ascii="Arial" w:hAnsi="Arial" w:cs="Arial"/>
          <w:bCs/>
          <w:sz w:val="20"/>
          <w:szCs w:val="20"/>
          <w:lang w:val="es-ES"/>
        </w:rPr>
        <w:t xml:space="preserve">a la fracción I, segundo párrafo, II y III, </w:t>
      </w:r>
      <w:r w:rsidRPr="00E9794F">
        <w:rPr>
          <w:rFonts w:ascii="Arial" w:eastAsia="Times New Roman" w:hAnsi="Arial" w:cs="Arial"/>
          <w:bCs/>
          <w:sz w:val="20"/>
          <w:szCs w:val="20"/>
          <w:u w:color="000000"/>
          <w:bdr w:val="nil"/>
          <w:lang w:val="es-ES" w:eastAsia="es-ES"/>
        </w:rPr>
        <w:t xml:space="preserve">por artículo único del Decreto No. 1500 publicado en el Periódico Oficial “Tierra y Libertad” No. 5478 de fecha 2017/03/01. Vigencia 2017/03/02. </w:t>
      </w:r>
      <w:r w:rsidRPr="00E9794F">
        <w:rPr>
          <w:rFonts w:ascii="Arial" w:eastAsia="Times New Roman" w:hAnsi="Arial" w:cs="Arial"/>
          <w:b/>
          <w:bCs/>
          <w:sz w:val="20"/>
          <w:szCs w:val="20"/>
          <w:u w:color="000000"/>
          <w:bdr w:val="nil"/>
          <w:lang w:val="es-ES" w:eastAsia="es-ES"/>
        </w:rPr>
        <w:t xml:space="preserve">Antes decía: </w:t>
      </w:r>
      <w:r w:rsidRPr="00E9794F">
        <w:rPr>
          <w:rFonts w:ascii="Arial" w:hAnsi="Arial" w:cs="Arial"/>
          <w:sz w:val="20"/>
          <w:szCs w:val="20"/>
          <w:u w:color="000000"/>
          <w:bdr w:val="nil"/>
          <w:lang w:eastAsia="es-MX"/>
        </w:rPr>
        <w:t>Si una vez hecho el apercibimiento no se cumple de manera inmediata con la obligación, en los términos previstos en esta Ley, tratándose de los supuestos mencionados en esta fracción, se aplicará multa de ciento cincuenta a doscientos cincuenta días de salario mínimo general vigente;</w:t>
      </w:r>
    </w:p>
    <w:p w14:paraId="765867A8"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sz w:val="20"/>
          <w:szCs w:val="20"/>
          <w:u w:color="000000"/>
          <w:bdr w:val="nil"/>
          <w:lang w:eastAsia="es-MX"/>
        </w:rPr>
        <w:t>II. Multa de doscientos cincuenta a ochocientos días de salario mínimo general vigente, en los casos previstos en las fracciones II y IV del artículo 143 de esta Ley, y</w:t>
      </w:r>
    </w:p>
    <w:p w14:paraId="388D7E76"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sz w:val="20"/>
          <w:szCs w:val="20"/>
          <w:u w:color="000000"/>
          <w:bdr w:val="nil"/>
          <w:lang w:eastAsia="es-MX"/>
        </w:rPr>
        <w:t>III. Multa de ochocientos a mil quinientos días de salario mínimo general vigente en el estado de Morelos, en los casos previstos en las fracciones VII, VIII, IX, XI, XII, XIII, XIV, XV, XVI, XVII y XVIII del artículo 143 de esta Ley.</w:t>
      </w:r>
    </w:p>
    <w:p w14:paraId="27393409" w14:textId="77777777" w:rsidR="00E85802" w:rsidRPr="00E9794F" w:rsidRDefault="00E85802" w:rsidP="00E85802">
      <w:pPr>
        <w:pBdr>
          <w:top w:val="nil"/>
          <w:left w:val="nil"/>
          <w:bottom w:val="nil"/>
          <w:right w:val="nil"/>
          <w:between w:val="nil"/>
          <w:bar w:val="nil"/>
        </w:pBdr>
        <w:spacing w:after="0" w:line="240" w:lineRule="auto"/>
        <w:jc w:val="both"/>
        <w:rPr>
          <w:rFonts w:ascii="Arial" w:hAnsi="Arial" w:cs="Arial"/>
          <w:sz w:val="20"/>
          <w:szCs w:val="20"/>
          <w:u w:color="000000"/>
          <w:bdr w:val="nil"/>
          <w:lang w:eastAsia="es-MX"/>
        </w:rPr>
      </w:pPr>
      <w:r w:rsidRPr="00E9794F">
        <w:rPr>
          <w:rFonts w:ascii="Arial" w:hAnsi="Arial" w:cs="Arial"/>
          <w:sz w:val="20"/>
          <w:szCs w:val="20"/>
          <w:u w:color="000000"/>
          <w:bdr w:val="nil"/>
          <w:lang w:eastAsia="es-MX"/>
        </w:rPr>
        <w:t>Se aplicará multa adicional de hasta cincuenta días de salario mínimo general vigente, por día, a quien persista en las infracciones citadas en las fracciones anteriores.</w:t>
      </w:r>
    </w:p>
    <w:p w14:paraId="588DF577" w14:textId="77777777" w:rsidR="00E85802" w:rsidRDefault="00E85802" w:rsidP="00E85802">
      <w:pPr>
        <w:widowControl w:val="0"/>
        <w:spacing w:after="0" w:line="240" w:lineRule="auto"/>
        <w:rPr>
          <w:rFonts w:ascii="Arial" w:eastAsia="Times New Roman" w:hAnsi="Arial" w:cs="Arial"/>
          <w:sz w:val="24"/>
          <w:szCs w:val="24"/>
          <w:lang w:val="es-ES" w:eastAsia="es-ES"/>
        </w:rPr>
      </w:pPr>
    </w:p>
    <w:p w14:paraId="590EB8E9" w14:textId="77777777" w:rsidR="00E85802" w:rsidRPr="006716F7" w:rsidRDefault="00E85802" w:rsidP="00E85802">
      <w:pPr>
        <w:widowControl w:val="0"/>
        <w:spacing w:after="0" w:line="240" w:lineRule="auto"/>
        <w:jc w:val="center"/>
        <w:rPr>
          <w:rFonts w:ascii="Arial" w:eastAsia="Times New Roman" w:hAnsi="Arial" w:cs="Arial"/>
          <w:b/>
          <w:sz w:val="24"/>
          <w:szCs w:val="24"/>
          <w:lang w:val="es-ES" w:eastAsia="es-ES"/>
        </w:rPr>
      </w:pPr>
      <w:r w:rsidRPr="006716F7">
        <w:rPr>
          <w:rFonts w:ascii="Arial" w:eastAsia="Times New Roman" w:hAnsi="Arial" w:cs="Arial"/>
          <w:b/>
          <w:sz w:val="24"/>
          <w:szCs w:val="24"/>
          <w:lang w:val="es-ES" w:eastAsia="es-ES"/>
        </w:rPr>
        <w:t xml:space="preserve">TÍTULO </w:t>
      </w:r>
      <w:r>
        <w:rPr>
          <w:rFonts w:ascii="Arial" w:eastAsia="Times New Roman" w:hAnsi="Arial" w:cs="Arial"/>
          <w:b/>
          <w:sz w:val="24"/>
          <w:szCs w:val="24"/>
          <w:lang w:val="es-ES" w:eastAsia="es-ES"/>
        </w:rPr>
        <w:t>*</w:t>
      </w:r>
      <w:r w:rsidRPr="006716F7">
        <w:rPr>
          <w:rFonts w:ascii="Arial" w:eastAsia="Times New Roman" w:hAnsi="Arial" w:cs="Arial"/>
          <w:b/>
          <w:sz w:val="24"/>
          <w:szCs w:val="24"/>
          <w:lang w:val="es-ES" w:eastAsia="es-ES"/>
        </w:rPr>
        <w:t xml:space="preserve">DÉCIMO PRIMERO </w:t>
      </w:r>
      <w:r>
        <w:rPr>
          <w:rFonts w:ascii="Arial" w:eastAsia="Times New Roman" w:hAnsi="Arial" w:cs="Arial"/>
          <w:b/>
          <w:sz w:val="24"/>
          <w:szCs w:val="24"/>
          <w:lang w:val="es-ES" w:eastAsia="es-ES"/>
        </w:rPr>
        <w:t>(DEROGADO)</w:t>
      </w:r>
    </w:p>
    <w:p w14:paraId="263CE41B"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0907B3E2" w14:textId="77777777" w:rsidR="00E85802" w:rsidRPr="00AB7A42" w:rsidRDefault="00E85802" w:rsidP="00E85802">
      <w:pPr>
        <w:widowControl w:val="0"/>
        <w:spacing w:after="0" w:line="240" w:lineRule="auto"/>
        <w:jc w:val="both"/>
        <w:rPr>
          <w:rFonts w:ascii="Arial" w:eastAsia="Times New Roman" w:hAnsi="Arial" w:cs="Arial"/>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 el presente título 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AB7A42">
        <w:rPr>
          <w:rFonts w:ascii="Arial" w:eastAsia="Times New Roman" w:hAnsi="Arial" w:cs="Arial"/>
          <w:sz w:val="20"/>
          <w:szCs w:val="20"/>
          <w:lang w:val="es-ES" w:eastAsia="es-ES"/>
        </w:rPr>
        <w:t>DE LA PROTECCIÓN DE DATOS PERSONALES Y DE LA ACCIÓN DE HABEAS DATA</w:t>
      </w:r>
    </w:p>
    <w:p w14:paraId="078C90F0" w14:textId="77777777" w:rsidR="00E85802" w:rsidRPr="00AB7A42" w:rsidRDefault="00E85802" w:rsidP="00E85802">
      <w:pPr>
        <w:widowControl w:val="0"/>
        <w:spacing w:after="0" w:line="240" w:lineRule="auto"/>
        <w:jc w:val="both"/>
        <w:rPr>
          <w:rFonts w:ascii="Arial" w:eastAsia="Times New Roman" w:hAnsi="Arial" w:cs="Arial"/>
          <w:b/>
          <w:bCs/>
          <w:sz w:val="20"/>
          <w:szCs w:val="20"/>
          <w:lang w:val="es-ES" w:eastAsia="es-ES"/>
        </w:rPr>
      </w:pPr>
    </w:p>
    <w:p w14:paraId="36A104A1" w14:textId="77777777" w:rsidR="00E85802" w:rsidRDefault="00E85802" w:rsidP="00E85802">
      <w:pPr>
        <w:widowControl w:val="0"/>
        <w:spacing w:after="0" w:line="240" w:lineRule="auto"/>
        <w:jc w:val="center"/>
        <w:rPr>
          <w:rFonts w:ascii="Arial" w:eastAsia="Times New Roman" w:hAnsi="Arial" w:cs="Arial"/>
          <w:b/>
          <w:bCs/>
          <w:sz w:val="24"/>
          <w:szCs w:val="24"/>
          <w:lang w:val="es-ES" w:eastAsia="es-ES"/>
        </w:rPr>
      </w:pPr>
      <w:r w:rsidRPr="006716F7">
        <w:rPr>
          <w:rFonts w:ascii="Arial" w:eastAsia="Times New Roman" w:hAnsi="Arial" w:cs="Arial"/>
          <w:b/>
          <w:bCs/>
          <w:sz w:val="24"/>
          <w:szCs w:val="24"/>
          <w:lang w:val="es-ES" w:eastAsia="es-ES"/>
        </w:rPr>
        <w:t xml:space="preserve">CAPÍTULO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 xml:space="preserve">I </w:t>
      </w:r>
      <w:r>
        <w:rPr>
          <w:rFonts w:ascii="Arial" w:eastAsia="Times New Roman" w:hAnsi="Arial" w:cs="Arial"/>
          <w:b/>
          <w:bCs/>
          <w:sz w:val="24"/>
          <w:szCs w:val="24"/>
          <w:lang w:val="es-ES" w:eastAsia="es-ES"/>
        </w:rPr>
        <w:t>(DEROGADO)</w:t>
      </w:r>
    </w:p>
    <w:p w14:paraId="34B3E1CF"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73EA9BE3" w14:textId="77777777" w:rsidR="00E85802" w:rsidRPr="00AB7A42" w:rsidRDefault="00E85802" w:rsidP="00E85802">
      <w:pPr>
        <w:widowControl w:val="0"/>
        <w:spacing w:after="0" w:line="240" w:lineRule="auto"/>
        <w:jc w:val="both"/>
        <w:rPr>
          <w:rFonts w:ascii="Arial" w:eastAsia="Times New Roman" w:hAnsi="Arial" w:cs="Arial"/>
          <w:bCs/>
          <w:sz w:val="24"/>
          <w:szCs w:val="24"/>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el presente capítulo</w:t>
      </w:r>
      <w:r w:rsidRPr="00AB7A42">
        <w:rPr>
          <w:rFonts w:ascii="Arial" w:eastAsia="Times New Roman" w:hAnsi="Arial" w:cs="Arial"/>
          <w:bCs/>
          <w:sz w:val="20"/>
          <w:szCs w:val="20"/>
          <w:lang w:val="es-ES" w:eastAsia="es-ES"/>
        </w:rPr>
        <w:t xml:space="preserve"> 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Cs/>
          <w:sz w:val="24"/>
          <w:szCs w:val="24"/>
          <w:lang w:val="es-ES" w:eastAsia="es-ES"/>
        </w:rPr>
        <w:t xml:space="preserve"> </w:t>
      </w:r>
      <w:r w:rsidRPr="00AB7A42">
        <w:rPr>
          <w:rFonts w:ascii="Arial" w:eastAsia="Times New Roman" w:hAnsi="Arial" w:cs="Arial"/>
          <w:bCs/>
          <w:sz w:val="20"/>
          <w:szCs w:val="20"/>
          <w:lang w:val="es-ES" w:eastAsia="es-ES"/>
        </w:rPr>
        <w:t>DE LA PROTECCIÓN DE DATOS PERSONALES</w:t>
      </w:r>
    </w:p>
    <w:p w14:paraId="0A6B3D91"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p>
    <w:p w14:paraId="4F259EF2"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159.</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714F7763"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10A40A21" w14:textId="77777777" w:rsidR="00E85802" w:rsidRPr="00AB7A42" w:rsidRDefault="00E85802" w:rsidP="00E85802">
      <w:pPr>
        <w:widowControl w:val="0"/>
        <w:spacing w:after="0" w:line="240" w:lineRule="auto"/>
        <w:jc w:val="both"/>
        <w:rPr>
          <w:rFonts w:ascii="Arial" w:eastAsia="Times New Roman" w:hAnsi="Arial" w:cs="Arial"/>
          <w:bCs/>
          <w:sz w:val="24"/>
          <w:szCs w:val="24"/>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Cs/>
          <w:sz w:val="24"/>
          <w:szCs w:val="24"/>
          <w:lang w:val="es-ES" w:eastAsia="es-ES"/>
        </w:rPr>
        <w:t xml:space="preserve"> </w:t>
      </w:r>
      <w:r w:rsidRPr="00AB7A42">
        <w:rPr>
          <w:rFonts w:ascii="Arial" w:eastAsia="Times New Roman" w:hAnsi="Arial" w:cs="Arial"/>
          <w:bCs/>
          <w:sz w:val="20"/>
          <w:szCs w:val="20"/>
          <w:lang w:val="es-ES" w:eastAsia="es-ES"/>
        </w:rPr>
        <w:t>Los Sujetos Obligados deberán resguardar toda la información de carácter personal y no podrán entregarla a quien la solicite, salvo autorización expresa de la persona directamente afectada o de su representante legal.</w:t>
      </w:r>
    </w:p>
    <w:p w14:paraId="00253C87"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p>
    <w:p w14:paraId="2F8FC4C9"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lastRenderedPageBreak/>
        <w:t xml:space="preserve">Artículo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160.</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397D2046"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104BE9B6"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AB7A42">
        <w:rPr>
          <w:rFonts w:ascii="Arial" w:eastAsia="Times New Roman" w:hAnsi="Arial" w:cs="Arial"/>
          <w:bCs/>
          <w:sz w:val="20"/>
          <w:szCs w:val="20"/>
          <w:lang w:val="es-ES" w:eastAsia="es-ES"/>
        </w:rPr>
        <w:t>La Unidad de Transparencia, responsable de atender las solicitudes de información en coordinación con el Instituto, establecerán las medidas técnicas necesarias para sistematizar y archivar con fines lícitos y legítimos la información que contenga datos personales.</w:t>
      </w:r>
      <w:r w:rsidRPr="002E074E">
        <w:rPr>
          <w:rFonts w:ascii="Arial" w:eastAsia="Times New Roman" w:hAnsi="Arial" w:cs="Arial"/>
          <w:bCs/>
          <w:sz w:val="24"/>
          <w:szCs w:val="24"/>
          <w:lang w:val="es-ES" w:eastAsia="es-ES"/>
        </w:rPr>
        <w:t xml:space="preserve"> </w:t>
      </w:r>
    </w:p>
    <w:p w14:paraId="4B519B25" w14:textId="77777777" w:rsidR="00E85802" w:rsidRPr="002E074E" w:rsidRDefault="00E85802" w:rsidP="00E85802">
      <w:pPr>
        <w:widowControl w:val="0"/>
        <w:spacing w:after="0" w:line="240" w:lineRule="auto"/>
        <w:jc w:val="both"/>
        <w:rPr>
          <w:rFonts w:ascii="Arial" w:eastAsia="Times New Roman" w:hAnsi="Arial" w:cs="Arial"/>
          <w:sz w:val="24"/>
          <w:szCs w:val="24"/>
          <w:lang w:val="es-ES" w:eastAsia="es-ES"/>
        </w:rPr>
      </w:pPr>
    </w:p>
    <w:p w14:paraId="14B9C4D8"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161.</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35C1433F"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523DAB3E"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7A15C3">
        <w:rPr>
          <w:rFonts w:ascii="Arial" w:eastAsia="Times New Roman" w:hAnsi="Arial" w:cs="Arial"/>
          <w:bCs/>
          <w:sz w:val="20"/>
          <w:szCs w:val="20"/>
          <w:lang w:val="es-ES" w:eastAsia="es-ES"/>
        </w:rPr>
        <w:t xml:space="preserve">Ninguna persona está obligada a dar información que pudiera propiciar expresión de discriminación e intolerancia sobre su persona, honor, reputación y dignidad, salvo que la información sea estrictamente necesaria para proteger su vida y seguridad personal. </w:t>
      </w:r>
    </w:p>
    <w:p w14:paraId="22DF3DD2" w14:textId="77777777" w:rsidR="00E85802" w:rsidRPr="002E074E" w:rsidRDefault="00E85802" w:rsidP="00E85802">
      <w:pPr>
        <w:widowControl w:val="0"/>
        <w:spacing w:after="0" w:line="240" w:lineRule="auto"/>
        <w:jc w:val="both"/>
        <w:rPr>
          <w:rFonts w:ascii="Arial" w:eastAsia="Times New Roman" w:hAnsi="Arial" w:cs="Arial"/>
          <w:sz w:val="24"/>
          <w:szCs w:val="24"/>
          <w:lang w:val="es-ES" w:eastAsia="es-ES"/>
        </w:rPr>
      </w:pPr>
    </w:p>
    <w:p w14:paraId="69536206"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162.</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3EE47DFC"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5EC20569"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7A15C3">
        <w:rPr>
          <w:rFonts w:ascii="Arial" w:eastAsia="Times New Roman" w:hAnsi="Arial" w:cs="Arial"/>
          <w:bCs/>
          <w:sz w:val="20"/>
          <w:szCs w:val="20"/>
          <w:lang w:val="es-ES" w:eastAsia="es-ES"/>
        </w:rPr>
        <w:t xml:space="preserve">Los sistemas de documentación y archivo creados para resguardar datos personales deberán utilizarse exclusivamente para los fines legales y legítimos para los que fueron creados. Las entidades públicas sólo podrán administrar archivos de datos personales estrictamente relacionados con el ejercicio de su competencia. </w:t>
      </w:r>
    </w:p>
    <w:p w14:paraId="54567751" w14:textId="77777777" w:rsidR="00E85802" w:rsidRPr="002E074E" w:rsidRDefault="00E85802" w:rsidP="00E85802">
      <w:pPr>
        <w:widowControl w:val="0"/>
        <w:spacing w:after="0" w:line="240" w:lineRule="auto"/>
        <w:jc w:val="both"/>
        <w:rPr>
          <w:rFonts w:ascii="Arial" w:eastAsia="Times New Roman" w:hAnsi="Arial" w:cs="Arial"/>
          <w:sz w:val="24"/>
          <w:szCs w:val="24"/>
          <w:lang w:val="es-ES" w:eastAsia="es-ES"/>
        </w:rPr>
      </w:pPr>
    </w:p>
    <w:p w14:paraId="142C4707"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163.</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01ADA0E7"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7D026AB9"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 xml:space="preserve">La administración, procesamiento, actualización y resguardo deberán realizarse con estricto apego a estos fines. Los Servidores Públicos al cargo están obligados a guardar confidencialidad respecto de la información que manejen. Cualquier violación a este precepto será objeto de responsabilidad de acuerdo con las leyes aplicables. </w:t>
      </w:r>
    </w:p>
    <w:p w14:paraId="60C52CE0" w14:textId="77777777" w:rsidR="00E85802" w:rsidRPr="002E074E" w:rsidRDefault="00E85802" w:rsidP="00E85802">
      <w:pPr>
        <w:widowControl w:val="0"/>
        <w:spacing w:after="0" w:line="240" w:lineRule="auto"/>
        <w:jc w:val="both"/>
        <w:rPr>
          <w:rFonts w:ascii="Arial" w:eastAsia="Times New Roman" w:hAnsi="Arial" w:cs="Arial"/>
          <w:sz w:val="24"/>
          <w:szCs w:val="24"/>
          <w:lang w:val="es-ES" w:eastAsia="es-ES"/>
        </w:rPr>
      </w:pPr>
    </w:p>
    <w:p w14:paraId="07576CEA" w14:textId="77777777" w:rsidR="00E85802" w:rsidRPr="006716F7" w:rsidRDefault="00E85802" w:rsidP="00E85802">
      <w:pPr>
        <w:widowControl w:val="0"/>
        <w:suppressAutoHyphens/>
        <w:overflowPunct w:val="0"/>
        <w:spacing w:after="0" w:line="240" w:lineRule="auto"/>
        <w:jc w:val="center"/>
        <w:outlineLvl w:val="5"/>
        <w:rPr>
          <w:rFonts w:ascii="Arial" w:eastAsia="Times New Roman" w:hAnsi="Arial" w:cs="Arial"/>
          <w:b/>
          <w:sz w:val="24"/>
          <w:szCs w:val="24"/>
          <w:lang w:eastAsia="es-MX"/>
        </w:rPr>
      </w:pPr>
      <w:r w:rsidRPr="006716F7">
        <w:rPr>
          <w:rFonts w:ascii="Arial" w:eastAsia="Times New Roman" w:hAnsi="Arial" w:cs="Arial"/>
          <w:b/>
          <w:sz w:val="24"/>
          <w:szCs w:val="24"/>
          <w:lang w:eastAsia="es-MX"/>
        </w:rPr>
        <w:t xml:space="preserve">CAPÍTULO </w:t>
      </w:r>
      <w:r>
        <w:rPr>
          <w:rFonts w:ascii="Arial" w:eastAsia="Times New Roman" w:hAnsi="Arial" w:cs="Arial"/>
          <w:b/>
          <w:sz w:val="24"/>
          <w:szCs w:val="24"/>
          <w:lang w:eastAsia="es-MX"/>
        </w:rPr>
        <w:t>*</w:t>
      </w:r>
      <w:r w:rsidRPr="006716F7">
        <w:rPr>
          <w:rFonts w:ascii="Arial" w:eastAsia="Times New Roman" w:hAnsi="Arial" w:cs="Arial"/>
          <w:b/>
          <w:sz w:val="24"/>
          <w:szCs w:val="24"/>
          <w:lang w:eastAsia="es-MX"/>
        </w:rPr>
        <w:t>II</w:t>
      </w:r>
      <w:r>
        <w:rPr>
          <w:rFonts w:ascii="Arial" w:eastAsia="Times New Roman" w:hAnsi="Arial" w:cs="Arial"/>
          <w:b/>
          <w:sz w:val="24"/>
          <w:szCs w:val="24"/>
          <w:lang w:eastAsia="es-MX"/>
        </w:rPr>
        <w:t xml:space="preserve"> (DEROGADO)</w:t>
      </w:r>
    </w:p>
    <w:p w14:paraId="3FF9F0D3" w14:textId="77777777" w:rsidR="00E85802" w:rsidRPr="00AB7A42" w:rsidRDefault="00E85802" w:rsidP="00E85802">
      <w:pPr>
        <w:widowControl w:val="0"/>
        <w:spacing w:after="0" w:line="240" w:lineRule="auto"/>
        <w:jc w:val="both"/>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7298A1BF" w14:textId="77777777" w:rsidR="00E85802" w:rsidRPr="00AB7A42" w:rsidRDefault="00E85802" w:rsidP="00E85802">
      <w:pPr>
        <w:widowControl w:val="0"/>
        <w:suppressAutoHyphens/>
        <w:overflowPunct w:val="0"/>
        <w:spacing w:after="0" w:line="240" w:lineRule="auto"/>
        <w:jc w:val="both"/>
        <w:outlineLvl w:val="5"/>
        <w:rPr>
          <w:rFonts w:ascii="Arial" w:eastAsia="Times New Roman" w:hAnsi="Arial" w:cs="Arial"/>
          <w:sz w:val="20"/>
          <w:szCs w:val="20"/>
          <w:lang w:eastAsia="es-MX"/>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el presente capítulo</w:t>
      </w:r>
      <w:r w:rsidRPr="00AB7A42">
        <w:rPr>
          <w:rFonts w:ascii="Arial" w:eastAsia="Times New Roman" w:hAnsi="Arial" w:cs="Arial"/>
          <w:bCs/>
          <w:sz w:val="20"/>
          <w:szCs w:val="20"/>
          <w:lang w:val="es-ES" w:eastAsia="es-ES"/>
        </w:rPr>
        <w:t xml:space="preserve"> por disposición transitoria tercera de la Ley de Protección de Datos Personales en Posesión de Sujetos Obligados del Estado de Morelos, </w:t>
      </w:r>
      <w:r w:rsidRPr="00AB7A42">
        <w:rPr>
          <w:rFonts w:ascii="Arial" w:eastAsia="Times New Roman" w:hAnsi="Arial" w:cs="Arial"/>
          <w:bCs/>
          <w:sz w:val="20"/>
          <w:szCs w:val="20"/>
          <w:lang w:val="es-ES" w:eastAsia="es-ES"/>
        </w:rPr>
        <w:lastRenderedPageBreak/>
        <w:t xml:space="preserve">publicada en el Periódico Oficial “Tierra y Libertad” No. 5516 de fecha 2017/07/26. Vigencia 2017/07/27. </w:t>
      </w:r>
      <w:r w:rsidRPr="00AB7A42">
        <w:rPr>
          <w:rFonts w:ascii="Arial" w:eastAsia="Times New Roman" w:hAnsi="Arial" w:cs="Arial"/>
          <w:b/>
          <w:bCs/>
          <w:sz w:val="20"/>
          <w:szCs w:val="20"/>
          <w:lang w:val="es-ES" w:eastAsia="es-ES"/>
        </w:rPr>
        <w:t>Antes decía:</w:t>
      </w:r>
      <w:r>
        <w:rPr>
          <w:rFonts w:ascii="Arial" w:eastAsia="Times New Roman" w:hAnsi="Arial" w:cs="Arial"/>
          <w:b/>
          <w:bCs/>
          <w:sz w:val="20"/>
          <w:szCs w:val="20"/>
          <w:lang w:val="es-ES" w:eastAsia="es-ES"/>
        </w:rPr>
        <w:t xml:space="preserve"> </w:t>
      </w:r>
      <w:r w:rsidRPr="00AB7A42">
        <w:rPr>
          <w:rFonts w:ascii="Arial" w:eastAsia="Times New Roman" w:hAnsi="Arial" w:cs="Arial"/>
          <w:sz w:val="20"/>
          <w:szCs w:val="20"/>
          <w:lang w:eastAsia="es-MX"/>
        </w:rPr>
        <w:t>DEL EJERCICIO DE LA ACCIÓN DE HABEAS DATA</w:t>
      </w:r>
    </w:p>
    <w:p w14:paraId="64820715" w14:textId="77777777" w:rsidR="00E85802" w:rsidRPr="006716F7" w:rsidRDefault="00E85802" w:rsidP="00E85802">
      <w:pPr>
        <w:widowControl w:val="0"/>
        <w:spacing w:after="0" w:line="240" w:lineRule="auto"/>
        <w:jc w:val="both"/>
        <w:rPr>
          <w:rFonts w:ascii="Arial" w:eastAsia="Times New Roman" w:hAnsi="Arial" w:cs="Arial"/>
          <w:b/>
          <w:bCs/>
          <w:sz w:val="24"/>
          <w:szCs w:val="24"/>
          <w:lang w:val="es-ES" w:eastAsia="es-ES"/>
        </w:rPr>
      </w:pPr>
    </w:p>
    <w:p w14:paraId="6B56A3A4"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F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F7">
        <w:rPr>
          <w:rFonts w:ascii="Arial" w:eastAsia="Times New Roman" w:hAnsi="Arial" w:cs="Arial"/>
          <w:b/>
          <w:bCs/>
          <w:sz w:val="24"/>
          <w:szCs w:val="24"/>
          <w:lang w:val="es-ES" w:eastAsia="es-ES"/>
        </w:rPr>
        <w:t>164.</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75D0C3CF"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64F4D881"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El Instituto y las Unidades Administrativas responsables dispondrán de los medios necesarios para que las personas interesadas estén en condiciones de ejercer la acción de habeas data para asegurarse que:</w:t>
      </w:r>
    </w:p>
    <w:p w14:paraId="2022B3E4" w14:textId="77777777" w:rsidR="00E85802" w:rsidRPr="007A15C3" w:rsidRDefault="00E85802" w:rsidP="00E85802">
      <w:pPr>
        <w:widowControl w:val="0"/>
        <w:tabs>
          <w:tab w:val="left" w:pos="851"/>
        </w:tabs>
        <w:spacing w:after="0" w:line="240" w:lineRule="auto"/>
        <w:contextualSpacing/>
        <w:jc w:val="both"/>
        <w:rPr>
          <w:rFonts w:ascii="Arial" w:hAnsi="Arial" w:cs="Arial"/>
          <w:bCs/>
          <w:sz w:val="20"/>
          <w:szCs w:val="20"/>
        </w:rPr>
      </w:pPr>
      <w:r w:rsidRPr="007A15C3">
        <w:rPr>
          <w:rFonts w:ascii="Arial" w:hAnsi="Arial" w:cs="Arial"/>
          <w:bCs/>
          <w:sz w:val="20"/>
          <w:szCs w:val="20"/>
        </w:rPr>
        <w:t>I. Los datos personales en posesión de la autoridad siguen siendo necesarios para cumplir los fines para los que fueron requeridos;</w:t>
      </w:r>
    </w:p>
    <w:p w14:paraId="6E5C024C" w14:textId="77777777" w:rsidR="00E85802" w:rsidRPr="007A15C3" w:rsidRDefault="00E85802" w:rsidP="00E85802">
      <w:pPr>
        <w:widowControl w:val="0"/>
        <w:tabs>
          <w:tab w:val="num" w:pos="720"/>
          <w:tab w:val="left" w:pos="851"/>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II. Los datos personales no se utilicen o pongan a disposición del público o de terceros sin el previo consentimiento del interesado o su representante legal, con propósitos distintos e incompatibles con los fines originalmente señalados, y</w:t>
      </w:r>
    </w:p>
    <w:p w14:paraId="5AD120F5" w14:textId="77777777" w:rsidR="00E85802" w:rsidRPr="007A15C3" w:rsidRDefault="00E85802" w:rsidP="00E85802">
      <w:pPr>
        <w:widowControl w:val="0"/>
        <w:tabs>
          <w:tab w:val="left" w:pos="851"/>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III. Que los datos personales hayan estado a disposición de la autoridad por un período de tiempo superior al necesario.</w:t>
      </w:r>
    </w:p>
    <w:p w14:paraId="23EA40E1" w14:textId="77777777" w:rsidR="00E85802" w:rsidRDefault="00E85802" w:rsidP="00E85802">
      <w:pPr>
        <w:widowControl w:val="0"/>
        <w:tabs>
          <w:tab w:val="num" w:pos="0"/>
          <w:tab w:val="left" w:pos="851"/>
        </w:tabs>
        <w:spacing w:after="0" w:line="240" w:lineRule="auto"/>
        <w:jc w:val="both"/>
        <w:rPr>
          <w:rFonts w:ascii="Arial" w:eastAsia="Times New Roman" w:hAnsi="Arial" w:cs="Arial"/>
          <w:bCs/>
          <w:sz w:val="24"/>
          <w:szCs w:val="24"/>
          <w:lang w:val="es-ES" w:eastAsia="es-ES"/>
        </w:rPr>
      </w:pPr>
    </w:p>
    <w:p w14:paraId="6CC7C476" w14:textId="77777777" w:rsidR="00E85802" w:rsidRDefault="00E85802" w:rsidP="00E85802">
      <w:pPr>
        <w:widowControl w:val="0"/>
        <w:tabs>
          <w:tab w:val="num" w:pos="0"/>
          <w:tab w:val="left" w:pos="851"/>
        </w:tabs>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165.</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46C8E312"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23BBFB4A" w14:textId="77777777" w:rsidR="00E85802" w:rsidRPr="007A15C3" w:rsidRDefault="00E85802" w:rsidP="00E85802">
      <w:pPr>
        <w:widowControl w:val="0"/>
        <w:tabs>
          <w:tab w:val="num" w:pos="0"/>
          <w:tab w:val="left" w:pos="851"/>
        </w:tabs>
        <w:spacing w:after="0" w:line="240" w:lineRule="auto"/>
        <w:jc w:val="both"/>
        <w:rPr>
          <w:rFonts w:ascii="Arial" w:eastAsia="Times New Roman" w:hAnsi="Arial" w:cs="Arial"/>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Ninguna autoridad podrá requerir a las personas información que exceda los fines para los cuales se solicita.</w:t>
      </w:r>
    </w:p>
    <w:p w14:paraId="7DA3FFE0"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179C24D8"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166.</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5C3E3EAB"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5AF71BE8" w14:textId="77777777" w:rsidR="00E85802" w:rsidRPr="007A15C3" w:rsidRDefault="00E85802" w:rsidP="00E85802">
      <w:pPr>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 xml:space="preserve">La Unidad de Transparencia deberá recibir y dar curso, por escrito o vía electrónica, a todas las solicitudes de las personas que tengan por objeto la corrección, sustitución, rectificación, guardar confidencialidad o suprimir total o parcialmente los datos personales. Todas las respuestas negativas a las solicitudes realizadas en ejercicio de la acción de habeas data deberán ser notificadas de oficio al Instituto, por escrito o vía electrónica, para que éste proceda y requiera a la autoridad que corresponda, acerca del fundamento y motivación legal en que sustenta su negativa. En caso de que desestime las razones de la autoridad, la emplazará a realizar el acto solicitado. </w:t>
      </w:r>
    </w:p>
    <w:p w14:paraId="54F681CD"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0FDE6C3E"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167.</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62EB4709"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77110D2B"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w:t>
      </w:r>
      <w:r w:rsidRPr="00AB7A42">
        <w:rPr>
          <w:rFonts w:ascii="Arial" w:eastAsia="Times New Roman" w:hAnsi="Arial" w:cs="Arial"/>
          <w:bCs/>
          <w:sz w:val="20"/>
          <w:szCs w:val="20"/>
          <w:lang w:val="es-ES" w:eastAsia="es-ES"/>
        </w:rPr>
        <w:lastRenderedPageBreak/>
        <w:t xml:space="preserve">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 xml:space="preserve">Los Sujetos Obligados por esta Ley no podrán comercializar, difundir o distribuir los datos personales en su posesión o administrados y sistematizados en el ejercicio de sus actividades, salvo que exista consentimiento expreso y por escrito de las personas a que se refiere la información. </w:t>
      </w:r>
    </w:p>
    <w:p w14:paraId="64330FD9" w14:textId="77777777" w:rsidR="00E85802" w:rsidRPr="002E074E" w:rsidRDefault="00E85802" w:rsidP="00E85802">
      <w:pPr>
        <w:widowControl w:val="0"/>
        <w:spacing w:after="0" w:line="240" w:lineRule="auto"/>
        <w:jc w:val="both"/>
        <w:rPr>
          <w:rFonts w:ascii="Arial" w:eastAsia="Times New Roman" w:hAnsi="Arial" w:cs="Arial"/>
          <w:sz w:val="24"/>
          <w:szCs w:val="24"/>
          <w:lang w:val="es-ES" w:eastAsia="es-ES"/>
        </w:rPr>
      </w:pPr>
    </w:p>
    <w:p w14:paraId="15F3E0F6"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67165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67165C">
        <w:rPr>
          <w:rFonts w:ascii="Arial" w:eastAsia="Times New Roman" w:hAnsi="Arial" w:cs="Arial"/>
          <w:b/>
          <w:bCs/>
          <w:sz w:val="24"/>
          <w:szCs w:val="24"/>
          <w:lang w:val="es-ES" w:eastAsia="es-ES"/>
        </w:rPr>
        <w:t>168.</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4809EAC6"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3F808A9E"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No será necesario el consentimiento de las personas para difundir o entregar datos personales, cuando se presenten las siguientes hipótesis:</w:t>
      </w:r>
    </w:p>
    <w:p w14:paraId="41529D53" w14:textId="77777777" w:rsidR="00E85802" w:rsidRPr="007A15C3" w:rsidRDefault="00E85802" w:rsidP="00E85802">
      <w:pPr>
        <w:widowControl w:val="0"/>
        <w:tabs>
          <w:tab w:val="left" w:pos="993"/>
        </w:tabs>
        <w:spacing w:after="0" w:line="240" w:lineRule="auto"/>
        <w:contextualSpacing/>
        <w:jc w:val="both"/>
        <w:rPr>
          <w:rFonts w:ascii="Arial" w:hAnsi="Arial" w:cs="Arial"/>
          <w:bCs/>
          <w:sz w:val="20"/>
          <w:szCs w:val="20"/>
        </w:rPr>
      </w:pPr>
      <w:r w:rsidRPr="007A15C3">
        <w:rPr>
          <w:rFonts w:ascii="Arial" w:hAnsi="Arial" w:cs="Arial"/>
          <w:bCs/>
          <w:sz w:val="20"/>
          <w:szCs w:val="20"/>
        </w:rPr>
        <w:t>I. La información sea necesaria para la prevención, diagnóstico médico, prestación de servicios médicos o la gestión de servicios de salud, y no pueda recabarse autorización de la persona por impedimentos legales o de salud;</w:t>
      </w:r>
    </w:p>
    <w:p w14:paraId="196A4F66" w14:textId="77777777" w:rsidR="00E85802" w:rsidRPr="007A15C3" w:rsidRDefault="00E85802" w:rsidP="00E85802">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II. La información sea para fines estadísticos, científicos o de interés general previstos en la ley, siempre que los datos sean agregados y no puedan relacionarse con las personas a las que se refieran;</w:t>
      </w:r>
    </w:p>
    <w:p w14:paraId="1E74B228" w14:textId="77777777" w:rsidR="00E85802" w:rsidRPr="007A15C3" w:rsidRDefault="00E85802" w:rsidP="00E85802">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III. La información sea requerida por una entidad, dependencia o unidad administrativa distinta a la que posea los datos personales y sirvan para el estricto cumplimiento de sus funciones públicas;</w:t>
      </w:r>
    </w:p>
    <w:p w14:paraId="7DE3618C" w14:textId="77777777" w:rsidR="00E85802" w:rsidRPr="007A15C3" w:rsidRDefault="00E85802" w:rsidP="00E85802">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IV. La información sea requerida por orden judicial;</w:t>
      </w:r>
    </w:p>
    <w:p w14:paraId="172240D5" w14:textId="77777777" w:rsidR="00E85802" w:rsidRPr="007A15C3" w:rsidRDefault="00E85802" w:rsidP="00E85802">
      <w:pPr>
        <w:widowControl w:val="0"/>
        <w:tabs>
          <w:tab w:val="num" w:pos="720"/>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V. La información sea requerida para la prestación de un servicio contratado a particulares por las entidades públicas. En este caso la entrega de la información se hará una vez que se haya cubierto una fianza y sólo se utilizará para los propósitos estrictamente señalados en el contrato. Una vez terminado el contrato el particular devolverá los datos personales que para uso exclusivo y temporal le fueron otorgados por la autoridad, y</w:t>
      </w:r>
    </w:p>
    <w:p w14:paraId="181DE05B" w14:textId="77777777" w:rsidR="00E85802" w:rsidRPr="007A15C3" w:rsidRDefault="00E85802" w:rsidP="00E85802">
      <w:pPr>
        <w:widowControl w:val="0"/>
        <w:tabs>
          <w:tab w:val="left" w:pos="993"/>
        </w:tabs>
        <w:spacing w:after="0" w:line="240" w:lineRule="auto"/>
        <w:jc w:val="both"/>
        <w:rPr>
          <w:rFonts w:ascii="Arial" w:eastAsia="Times New Roman" w:hAnsi="Arial" w:cs="Arial"/>
          <w:sz w:val="20"/>
          <w:szCs w:val="20"/>
          <w:lang w:val="es-ES" w:eastAsia="es-ES"/>
        </w:rPr>
      </w:pPr>
      <w:r w:rsidRPr="007A15C3">
        <w:rPr>
          <w:rFonts w:ascii="Arial" w:eastAsia="Times New Roman" w:hAnsi="Arial" w:cs="Arial"/>
          <w:bCs/>
          <w:sz w:val="20"/>
          <w:szCs w:val="20"/>
          <w:lang w:val="es-ES" w:eastAsia="es-ES"/>
        </w:rPr>
        <w:t>VI. Los demás casos que expresamente señalen las leyes posteriores a la presente.</w:t>
      </w:r>
    </w:p>
    <w:p w14:paraId="4D34C6A5" w14:textId="77777777" w:rsidR="00E85802" w:rsidRDefault="00E85802" w:rsidP="00E85802">
      <w:pPr>
        <w:widowControl w:val="0"/>
        <w:suppressAutoHyphens/>
        <w:overflowPunct w:val="0"/>
        <w:spacing w:after="0" w:line="240" w:lineRule="auto"/>
        <w:jc w:val="both"/>
        <w:rPr>
          <w:rFonts w:ascii="Arial" w:eastAsia="Times New Roman" w:hAnsi="Arial" w:cs="Arial"/>
          <w:sz w:val="24"/>
          <w:szCs w:val="24"/>
        </w:rPr>
      </w:pPr>
    </w:p>
    <w:p w14:paraId="7CB57BA2" w14:textId="77777777" w:rsidR="00E85802" w:rsidRDefault="00E85802" w:rsidP="00E85802">
      <w:pPr>
        <w:widowControl w:val="0"/>
        <w:suppressAutoHyphens/>
        <w:overflowPunct w:val="0"/>
        <w:spacing w:after="0" w:line="240" w:lineRule="auto"/>
        <w:jc w:val="both"/>
        <w:rPr>
          <w:rFonts w:ascii="Arial" w:eastAsia="Times New Roman" w:hAnsi="Arial" w:cs="Arial"/>
          <w:bCs/>
          <w:sz w:val="24"/>
          <w:szCs w:val="24"/>
        </w:rPr>
      </w:pPr>
      <w:r w:rsidRPr="009E320D">
        <w:rPr>
          <w:rFonts w:ascii="Arial" w:eastAsia="Times New Roman" w:hAnsi="Arial" w:cs="Arial"/>
          <w:b/>
          <w:sz w:val="24"/>
          <w:szCs w:val="24"/>
        </w:rPr>
        <w:t xml:space="preserve">Artículo </w:t>
      </w:r>
      <w:r>
        <w:rPr>
          <w:rFonts w:ascii="Arial" w:eastAsia="Times New Roman" w:hAnsi="Arial" w:cs="Arial"/>
          <w:b/>
          <w:sz w:val="24"/>
          <w:szCs w:val="24"/>
        </w:rPr>
        <w:t>*</w:t>
      </w:r>
      <w:r w:rsidRPr="009E320D">
        <w:rPr>
          <w:rFonts w:ascii="Arial" w:eastAsia="Times New Roman" w:hAnsi="Arial" w:cs="Arial"/>
          <w:b/>
          <w:sz w:val="24"/>
          <w:szCs w:val="24"/>
        </w:rPr>
        <w:t>169.</w:t>
      </w:r>
      <w:r w:rsidRPr="002E074E">
        <w:rPr>
          <w:rFonts w:ascii="Arial" w:eastAsia="Times New Roman" w:hAnsi="Arial" w:cs="Arial"/>
          <w:bCs/>
          <w:sz w:val="24"/>
          <w:szCs w:val="24"/>
        </w:rPr>
        <w:t xml:space="preserve"> </w:t>
      </w:r>
      <w:r>
        <w:rPr>
          <w:rFonts w:ascii="Arial" w:eastAsia="Times New Roman" w:hAnsi="Arial" w:cs="Arial"/>
          <w:bCs/>
          <w:sz w:val="24"/>
          <w:szCs w:val="24"/>
        </w:rPr>
        <w:t>Derogado.</w:t>
      </w:r>
    </w:p>
    <w:p w14:paraId="5954F1EE"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2AD22FDF" w14:textId="77777777" w:rsidR="00E85802" w:rsidRDefault="00E85802" w:rsidP="00E85802">
      <w:pPr>
        <w:widowControl w:val="0"/>
        <w:suppressAutoHyphens/>
        <w:overflowPunct w:val="0"/>
        <w:spacing w:after="0" w:line="240" w:lineRule="auto"/>
        <w:jc w:val="both"/>
        <w:rPr>
          <w:rFonts w:ascii="Arial" w:eastAsia="Times New Roman" w:hAnsi="Arial" w:cs="Arial"/>
          <w:bCs/>
          <w:sz w:val="24"/>
          <w:szCs w:val="24"/>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rPr>
        <w:t>Los trámites que se realicen en ejercicio de la acción de habeas data serán gratuitos.</w:t>
      </w:r>
    </w:p>
    <w:p w14:paraId="5C8353E1" w14:textId="77777777" w:rsidR="00E85802" w:rsidRPr="002E074E" w:rsidRDefault="00E85802" w:rsidP="00E85802">
      <w:pPr>
        <w:widowControl w:val="0"/>
        <w:suppressAutoHyphens/>
        <w:overflowPunct w:val="0"/>
        <w:spacing w:after="0" w:line="240" w:lineRule="auto"/>
        <w:jc w:val="both"/>
        <w:rPr>
          <w:rFonts w:ascii="Arial" w:eastAsia="Times New Roman" w:hAnsi="Arial" w:cs="Arial"/>
          <w:bCs/>
          <w:sz w:val="24"/>
          <w:szCs w:val="24"/>
        </w:rPr>
      </w:pPr>
    </w:p>
    <w:p w14:paraId="3535BEB9" w14:textId="77777777" w:rsidR="00E85802" w:rsidRDefault="00E85802" w:rsidP="00E85802">
      <w:pPr>
        <w:widowControl w:val="0"/>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9E320D">
        <w:rPr>
          <w:rFonts w:ascii="Arial" w:eastAsia="Times New Roman" w:hAnsi="Arial" w:cs="Arial"/>
          <w:b/>
          <w:bCs/>
          <w:sz w:val="24"/>
          <w:szCs w:val="24"/>
          <w:lang w:val="es-ES" w:eastAsia="es-ES"/>
        </w:rPr>
        <w:t>170.</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69E28CD5"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3341A81D" w14:textId="77777777" w:rsidR="00E85802" w:rsidRPr="007A15C3" w:rsidRDefault="00E85802" w:rsidP="00E85802">
      <w:pPr>
        <w:widowControl w:val="0"/>
        <w:spacing w:after="0" w:line="240" w:lineRule="auto"/>
        <w:jc w:val="both"/>
        <w:rPr>
          <w:rFonts w:ascii="Arial" w:eastAsia="Times New Roman" w:hAnsi="Arial" w:cs="Arial"/>
          <w:bCs/>
          <w:sz w:val="20"/>
          <w:szCs w:val="20"/>
          <w:lang w:val="es-ES"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 xml:space="preserve">Todas las Unidades Administrativas que posean datos personales deberán informarlo al Instituto, del mismo </w:t>
      </w:r>
      <w:r w:rsidRPr="007A15C3">
        <w:rPr>
          <w:rFonts w:ascii="Arial" w:eastAsia="Times New Roman" w:hAnsi="Arial" w:cs="Arial"/>
          <w:bCs/>
          <w:sz w:val="20"/>
          <w:szCs w:val="20"/>
          <w:lang w:val="es-ES" w:eastAsia="es-ES"/>
        </w:rPr>
        <w:lastRenderedPageBreak/>
        <w:t>modo y mensualmente deberán informarle acerca de la actualización de los sistemas de archivo de los datos personales en su poder. Además, deberán tomar las medidas técnicas para proteger los archivos y sistemas de archivo que resguarden datos personales, contra los riesgos naturales, la pérdida por siniestro o accidentes y contra el riesgo de que se acceda a ellos sin autorización, se utilicen de manera encubierta o se contaminen por virus informático.</w:t>
      </w:r>
    </w:p>
    <w:p w14:paraId="78DB271D" w14:textId="77777777" w:rsidR="00E85802" w:rsidRPr="002E074E" w:rsidRDefault="00E85802" w:rsidP="00E85802">
      <w:pPr>
        <w:widowControl w:val="0"/>
        <w:spacing w:after="0" w:line="240" w:lineRule="auto"/>
        <w:jc w:val="both"/>
        <w:rPr>
          <w:rFonts w:ascii="Arial" w:eastAsia="Times New Roman" w:hAnsi="Arial" w:cs="Arial"/>
          <w:sz w:val="24"/>
          <w:szCs w:val="24"/>
          <w:lang w:val="es-ES" w:eastAsia="es-ES"/>
        </w:rPr>
      </w:pPr>
    </w:p>
    <w:p w14:paraId="0A7887CA"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9E320D">
        <w:rPr>
          <w:rFonts w:ascii="Arial" w:eastAsia="Times New Roman" w:hAnsi="Arial" w:cs="Arial"/>
          <w:b/>
          <w:bCs/>
          <w:sz w:val="24"/>
          <w:szCs w:val="24"/>
          <w:lang w:val="es-ES" w:eastAsia="es-ES"/>
        </w:rPr>
        <w:t>171.</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4CFDF46C"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4596BB3C" w14:textId="77777777" w:rsidR="00E85802" w:rsidRPr="007A15C3" w:rsidRDefault="00E85802" w:rsidP="00E85802">
      <w:pPr>
        <w:spacing w:after="0" w:line="240" w:lineRule="auto"/>
        <w:jc w:val="both"/>
        <w:rPr>
          <w:rFonts w:ascii="Arial" w:eastAsia="Times New Roman" w:hAnsi="Arial" w:cs="Arial"/>
          <w:bCs/>
          <w:sz w:val="20"/>
          <w:szCs w:val="20"/>
          <w:lang w:val="es-ES_tradnl"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 xml:space="preserve">Las personas interesadas o sus representantes legales, podrán solicitar los datos personales por los medios previstos en el artículo 97 de esta Ley, requiriendo para su entrega acreditar previamente su personalidad. La autoridad </w:t>
      </w:r>
      <w:r w:rsidRPr="007A15C3">
        <w:rPr>
          <w:rFonts w:ascii="Arial" w:eastAsia="Times New Roman" w:hAnsi="Arial" w:cs="Arial"/>
          <w:bCs/>
          <w:sz w:val="20"/>
          <w:szCs w:val="20"/>
          <w:lang w:val="es-ES_tradnl" w:eastAsia="es-ES"/>
        </w:rPr>
        <w:t>tendrá un plazo de cinco días hábiles, contados a partir de recibida la solicitud para responder si tienen o no la información solicitada. La autoridad deberá entregar la información en un plazo no mayor de cinco días hábiles, contados a partir de la fecha del oficio de respuesta. En caso de que los datos personales no se encuentren en la unidad administrativa requerida, el interesado podrá recurrir conforme a su derecho al Instituto.</w:t>
      </w:r>
    </w:p>
    <w:p w14:paraId="4299CB22"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
    <w:p w14:paraId="2112A521"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9E320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9E320D">
        <w:rPr>
          <w:rFonts w:ascii="Arial" w:eastAsia="Times New Roman" w:hAnsi="Arial" w:cs="Arial"/>
          <w:b/>
          <w:bCs/>
          <w:sz w:val="24"/>
          <w:szCs w:val="24"/>
          <w:lang w:val="es-ES" w:eastAsia="es-ES"/>
        </w:rPr>
        <w:t>172.</w:t>
      </w:r>
      <w:r w:rsidRPr="002E074E">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Derogado.</w:t>
      </w:r>
    </w:p>
    <w:p w14:paraId="6355AB4B" w14:textId="77777777" w:rsidR="00E85802" w:rsidRPr="00AB7A42" w:rsidRDefault="00E85802" w:rsidP="00E85802">
      <w:pPr>
        <w:widowControl w:val="0"/>
        <w:spacing w:after="0" w:line="240" w:lineRule="auto"/>
        <w:rPr>
          <w:rFonts w:ascii="Arial" w:eastAsia="Times New Roman" w:hAnsi="Arial" w:cs="Arial"/>
          <w:b/>
          <w:bCs/>
          <w:sz w:val="20"/>
          <w:szCs w:val="20"/>
          <w:lang w:val="es-ES" w:eastAsia="es-ES"/>
        </w:rPr>
      </w:pPr>
      <w:r w:rsidRPr="00AB7A42">
        <w:rPr>
          <w:rFonts w:ascii="Arial" w:eastAsia="Times New Roman" w:hAnsi="Arial" w:cs="Arial"/>
          <w:b/>
          <w:bCs/>
          <w:sz w:val="20"/>
          <w:szCs w:val="20"/>
          <w:lang w:val="es-ES" w:eastAsia="es-ES"/>
        </w:rPr>
        <w:t>NOTAS:</w:t>
      </w:r>
    </w:p>
    <w:p w14:paraId="689940F3" w14:textId="77777777" w:rsidR="00E85802" w:rsidRPr="007A15C3" w:rsidRDefault="00E85802" w:rsidP="00E85802">
      <w:pPr>
        <w:spacing w:after="0" w:line="240" w:lineRule="auto"/>
        <w:jc w:val="both"/>
        <w:rPr>
          <w:rFonts w:ascii="Arial" w:eastAsia="Times New Roman" w:hAnsi="Arial" w:cs="Arial"/>
          <w:bCs/>
          <w:sz w:val="20"/>
          <w:szCs w:val="20"/>
          <w:lang w:val="es-ES_tradnl" w:eastAsia="es-ES"/>
        </w:rPr>
      </w:pPr>
      <w:r w:rsidRPr="00AB7A42">
        <w:rPr>
          <w:rFonts w:ascii="Arial" w:eastAsia="Times New Roman" w:hAnsi="Arial" w:cs="Arial"/>
          <w:b/>
          <w:bCs/>
          <w:sz w:val="20"/>
          <w:szCs w:val="20"/>
          <w:lang w:val="es-ES" w:eastAsia="es-ES"/>
        </w:rPr>
        <w:t xml:space="preserve">REFORMA </w:t>
      </w:r>
      <w:proofErr w:type="gramStart"/>
      <w:r w:rsidRPr="00AB7A42">
        <w:rPr>
          <w:rFonts w:ascii="Arial" w:eastAsia="Times New Roman" w:hAnsi="Arial" w:cs="Arial"/>
          <w:b/>
          <w:bCs/>
          <w:sz w:val="20"/>
          <w:szCs w:val="20"/>
          <w:lang w:val="es-ES" w:eastAsia="es-ES"/>
        </w:rPr>
        <w:t>VIGENTE.-</w:t>
      </w:r>
      <w:proofErr w:type="gramEnd"/>
      <w:r w:rsidRPr="00AB7A42">
        <w:rPr>
          <w:rFonts w:ascii="Arial" w:eastAsia="Times New Roman" w:hAnsi="Arial" w:cs="Arial"/>
          <w:bCs/>
          <w:sz w:val="20"/>
          <w:szCs w:val="20"/>
          <w:lang w:val="es-ES" w:eastAsia="es-ES"/>
        </w:rPr>
        <w:t xml:space="preserve"> Derogado</w:t>
      </w:r>
      <w:r>
        <w:rPr>
          <w:rFonts w:ascii="Arial" w:eastAsia="Times New Roman" w:hAnsi="Arial" w:cs="Arial"/>
          <w:bCs/>
          <w:sz w:val="20"/>
          <w:szCs w:val="20"/>
          <w:lang w:val="es-ES" w:eastAsia="es-ES"/>
        </w:rPr>
        <w:t xml:space="preserve"> </w:t>
      </w:r>
      <w:r w:rsidRPr="00AB7A42">
        <w:rPr>
          <w:rFonts w:ascii="Arial" w:eastAsia="Times New Roman" w:hAnsi="Arial" w:cs="Arial"/>
          <w:bCs/>
          <w:sz w:val="20"/>
          <w:szCs w:val="20"/>
          <w:lang w:val="es-ES" w:eastAsia="es-ES"/>
        </w:rPr>
        <w:t xml:space="preserve">por disposición transitoria tercera de la Ley de Protección de Datos Personales en Posesión de Sujetos Obligados del Estado de Morelos, publicada en el Periódico Oficial “Tierra y Libertad” No. 5516 de fecha 2017/07/26. Vigencia 2017/07/27. </w:t>
      </w:r>
      <w:r w:rsidRPr="00AB7A42">
        <w:rPr>
          <w:rFonts w:ascii="Arial" w:eastAsia="Times New Roman" w:hAnsi="Arial" w:cs="Arial"/>
          <w:b/>
          <w:bCs/>
          <w:sz w:val="20"/>
          <w:szCs w:val="20"/>
          <w:lang w:val="es-ES" w:eastAsia="es-ES"/>
        </w:rPr>
        <w:t xml:space="preserve">Antes </w:t>
      </w:r>
      <w:r w:rsidRPr="007A15C3">
        <w:rPr>
          <w:rFonts w:ascii="Arial" w:eastAsia="Times New Roman" w:hAnsi="Arial" w:cs="Arial"/>
          <w:b/>
          <w:bCs/>
          <w:sz w:val="20"/>
          <w:szCs w:val="20"/>
          <w:lang w:val="es-ES" w:eastAsia="es-ES"/>
        </w:rPr>
        <w:t xml:space="preserve">decía: </w:t>
      </w:r>
      <w:r w:rsidRPr="007A15C3">
        <w:rPr>
          <w:rFonts w:ascii="Arial" w:eastAsia="Times New Roman" w:hAnsi="Arial" w:cs="Arial"/>
          <w:bCs/>
          <w:sz w:val="20"/>
          <w:szCs w:val="20"/>
          <w:lang w:val="es-ES" w:eastAsia="es-ES"/>
        </w:rPr>
        <w:t xml:space="preserve">Las personas interesadas o sus representantes legales, previa identificación, podrán solicitar ante la Unidad Administrativa responsable que se modifiquen los datos personales que se encuentren en los archivos de la entidad requerida, a través de los medios previstos en el artículo 97 de esta Ley, requiriendo para su entrega acreditar previamente su personalidad. </w:t>
      </w:r>
      <w:r w:rsidRPr="007A15C3">
        <w:rPr>
          <w:rFonts w:ascii="Arial" w:eastAsia="Times New Roman" w:hAnsi="Arial" w:cs="Arial"/>
          <w:bCs/>
          <w:sz w:val="20"/>
          <w:szCs w:val="20"/>
          <w:lang w:val="es-ES_tradnl" w:eastAsia="es-ES"/>
        </w:rPr>
        <w:t>Para que proceda la solicitud, el interesado deberá precisar las modificaciones que deben realizarse y aportar, en su caso, la documentación necesaria. La autoridad tendrá un plazo de 10 días hábiles desde la presentación de la solicitud para realizar las modificaciones, o demostrar las razones, fundadas y motivadas, por las que no procedieron las modificaciones solicitadas. En ambos casos deberá notificarlo al interesado en un plazo no mayor de 5 días hábiles.</w:t>
      </w:r>
    </w:p>
    <w:p w14:paraId="5A5D88E9"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515A3C4B"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TÍTULO DÉCIMO SEGUNDO</w:t>
      </w:r>
    </w:p>
    <w:p w14:paraId="0DC7E76F"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 LOS ARCHIVOS</w:t>
      </w:r>
    </w:p>
    <w:p w14:paraId="49064D2A" w14:textId="77777777" w:rsidR="00E85802" w:rsidRPr="009E320D" w:rsidRDefault="00E85802" w:rsidP="00E85802">
      <w:pPr>
        <w:spacing w:after="0" w:line="240" w:lineRule="auto"/>
        <w:jc w:val="center"/>
        <w:rPr>
          <w:rFonts w:ascii="Arial" w:eastAsia="Times New Roman" w:hAnsi="Arial" w:cs="Arial"/>
          <w:b/>
          <w:bCs/>
          <w:sz w:val="24"/>
          <w:szCs w:val="24"/>
          <w:lang w:val="es-ES_tradnl" w:eastAsia="es-ES"/>
        </w:rPr>
      </w:pPr>
    </w:p>
    <w:p w14:paraId="11CB14CF"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CAPÍTULO ÚNICO</w:t>
      </w:r>
    </w:p>
    <w:p w14:paraId="36EA06CB"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 LOS ARCHIVOS</w:t>
      </w:r>
    </w:p>
    <w:p w14:paraId="4B13590F" w14:textId="77777777" w:rsidR="00E85802" w:rsidRDefault="00E85802" w:rsidP="00E85802">
      <w:pPr>
        <w:spacing w:after="0" w:line="240" w:lineRule="auto"/>
        <w:jc w:val="both"/>
        <w:rPr>
          <w:rFonts w:ascii="Arial" w:eastAsia="Times New Roman" w:hAnsi="Arial" w:cs="Arial"/>
          <w:bCs/>
          <w:sz w:val="24"/>
          <w:szCs w:val="24"/>
          <w:lang w:val="es-ES_tradnl" w:eastAsia="es-ES"/>
        </w:rPr>
      </w:pPr>
    </w:p>
    <w:p w14:paraId="404C80F2" w14:textId="77777777" w:rsidR="00E85802" w:rsidRDefault="00E85802" w:rsidP="00E85802">
      <w:pPr>
        <w:spacing w:after="0" w:line="240" w:lineRule="auto"/>
        <w:jc w:val="both"/>
        <w:rPr>
          <w:rFonts w:ascii="Arial" w:eastAsia="Times New Roman" w:hAnsi="Arial" w:cs="Arial"/>
          <w:bCs/>
          <w:sz w:val="24"/>
          <w:szCs w:val="24"/>
          <w:lang w:val="es-ES_tradnl" w:eastAsia="es-ES"/>
        </w:rPr>
      </w:pPr>
      <w:r w:rsidRPr="009E320D">
        <w:rPr>
          <w:rFonts w:ascii="Arial" w:eastAsia="Times New Roman" w:hAnsi="Arial" w:cs="Arial"/>
          <w:b/>
          <w:bCs/>
          <w:sz w:val="24"/>
          <w:szCs w:val="24"/>
          <w:lang w:val="es-ES_tradnl" w:eastAsia="es-ES"/>
        </w:rPr>
        <w:lastRenderedPageBreak/>
        <w:t>Artículo 173.</w:t>
      </w:r>
      <w:r w:rsidRPr="002E074E">
        <w:rPr>
          <w:rFonts w:ascii="Arial" w:eastAsia="Times New Roman" w:hAnsi="Arial" w:cs="Arial"/>
          <w:bCs/>
          <w:sz w:val="24"/>
          <w:szCs w:val="24"/>
          <w:lang w:val="es-ES_tradnl" w:eastAsia="es-ES"/>
        </w:rPr>
        <w:t xml:space="preserve"> Los Sujetos Obligados deberán conservar y resguardar sus archivos con el propósito de garantizar de manera fehaciente el Derecho Humano de Acceso a la Información Pública, para ello, establecerán mecanismos de coordinación con el Instituto en los términos establecidos por esta Ley y la normativa aplicable.</w:t>
      </w:r>
    </w:p>
    <w:p w14:paraId="51FB9E5A"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3CF6C5C0" w14:textId="77777777" w:rsidR="00E85802" w:rsidRDefault="00E85802" w:rsidP="00E85802">
      <w:pPr>
        <w:spacing w:after="0" w:line="240" w:lineRule="auto"/>
        <w:jc w:val="both"/>
        <w:rPr>
          <w:rFonts w:ascii="Arial" w:eastAsia="Times New Roman" w:hAnsi="Arial" w:cs="Arial"/>
          <w:bCs/>
          <w:sz w:val="24"/>
          <w:szCs w:val="24"/>
          <w:lang w:val="es-ES_tradnl" w:eastAsia="es-ES"/>
        </w:rPr>
      </w:pPr>
      <w:r w:rsidRPr="009E320D">
        <w:rPr>
          <w:rFonts w:ascii="Arial" w:eastAsia="Times New Roman" w:hAnsi="Arial" w:cs="Arial"/>
          <w:b/>
          <w:bCs/>
          <w:sz w:val="24"/>
          <w:szCs w:val="24"/>
          <w:lang w:val="es-ES_tradnl" w:eastAsia="es-ES"/>
        </w:rPr>
        <w:t>Artículo 174.</w:t>
      </w:r>
      <w:r w:rsidRPr="002E074E">
        <w:rPr>
          <w:rFonts w:ascii="Arial" w:eastAsia="Times New Roman" w:hAnsi="Arial" w:cs="Arial"/>
          <w:bCs/>
          <w:sz w:val="24"/>
          <w:szCs w:val="24"/>
          <w:lang w:val="es-ES_tradnl" w:eastAsia="es-ES"/>
        </w:rPr>
        <w:t xml:space="preserve"> El Instituto conforme a las facultades establecidas en las leyes de la materia, coordinará el cuidado y resguardo a que se refiere el artículo anterior, procurando para ello la elaboración de los criterios para la catalogación, clasificación y conservación de los documentos administrativos, así como la organización de archivos de los sujetos obligados.</w:t>
      </w:r>
    </w:p>
    <w:p w14:paraId="620D3588"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2FCB99FE"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TÍTULO DÉCIMO TERCERO</w:t>
      </w:r>
    </w:p>
    <w:p w14:paraId="30DF7B38"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DEL SERVICIO PROFESIONAL CIVIL DE CARRERA PARA</w:t>
      </w:r>
    </w:p>
    <w:p w14:paraId="0886D3F0"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 xml:space="preserve"> EL PERSONAL DEL INSTITUTO MORELENSE DE INFORMACIÓN </w:t>
      </w:r>
    </w:p>
    <w:p w14:paraId="377D4154"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PÚBLICA Y ESTADÍSTICA</w:t>
      </w:r>
    </w:p>
    <w:p w14:paraId="5B40149F" w14:textId="77777777" w:rsidR="00E85802" w:rsidRPr="009E320D" w:rsidRDefault="00E85802" w:rsidP="00E85802">
      <w:pPr>
        <w:spacing w:after="0" w:line="240" w:lineRule="auto"/>
        <w:jc w:val="center"/>
        <w:rPr>
          <w:rFonts w:ascii="Arial" w:eastAsia="Times New Roman" w:hAnsi="Arial" w:cs="Arial"/>
          <w:b/>
          <w:bCs/>
          <w:sz w:val="24"/>
          <w:szCs w:val="24"/>
          <w:lang w:val="es-ES_tradnl" w:eastAsia="es-ES"/>
        </w:rPr>
      </w:pPr>
    </w:p>
    <w:p w14:paraId="44640130"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CAPÍTULO ÚNICO</w:t>
      </w:r>
    </w:p>
    <w:p w14:paraId="4B8E57B8" w14:textId="77777777" w:rsidR="00E85802" w:rsidRPr="009E320D" w:rsidRDefault="00E85802" w:rsidP="00E85802">
      <w:pPr>
        <w:spacing w:after="0" w:line="240" w:lineRule="auto"/>
        <w:jc w:val="center"/>
        <w:rPr>
          <w:rFonts w:ascii="Arial" w:eastAsia="Times New Roman" w:hAnsi="Arial" w:cs="Arial"/>
          <w:b/>
          <w:sz w:val="24"/>
          <w:szCs w:val="24"/>
          <w:lang w:val="es-ES_tradnl" w:eastAsia="es-ES"/>
        </w:rPr>
      </w:pPr>
      <w:r w:rsidRPr="009E320D">
        <w:rPr>
          <w:rFonts w:ascii="Arial" w:eastAsia="Times New Roman" w:hAnsi="Arial" w:cs="Arial"/>
          <w:b/>
          <w:bCs/>
          <w:sz w:val="24"/>
          <w:szCs w:val="24"/>
          <w:lang w:val="es-ES_tradnl" w:eastAsia="es-ES"/>
        </w:rPr>
        <w:t>DE LA PROFESIONALIZACIÓN</w:t>
      </w:r>
    </w:p>
    <w:p w14:paraId="2EC7FA0C" w14:textId="77777777" w:rsidR="00E85802" w:rsidRDefault="00E85802" w:rsidP="00E85802">
      <w:pPr>
        <w:spacing w:after="0" w:line="240" w:lineRule="auto"/>
        <w:jc w:val="both"/>
        <w:rPr>
          <w:rFonts w:ascii="Arial" w:eastAsia="Times New Roman" w:hAnsi="Arial" w:cs="Arial"/>
          <w:bCs/>
          <w:sz w:val="24"/>
          <w:szCs w:val="24"/>
          <w:lang w:val="es-ES_tradnl" w:eastAsia="es-ES"/>
        </w:rPr>
      </w:pPr>
    </w:p>
    <w:p w14:paraId="48D06DC8" w14:textId="77777777" w:rsidR="00E85802" w:rsidRDefault="00E85802" w:rsidP="00E85802">
      <w:pPr>
        <w:spacing w:after="0" w:line="240" w:lineRule="auto"/>
        <w:jc w:val="both"/>
        <w:rPr>
          <w:rFonts w:ascii="Arial" w:eastAsia="Times New Roman" w:hAnsi="Arial" w:cs="Arial"/>
          <w:bCs/>
          <w:sz w:val="24"/>
          <w:szCs w:val="24"/>
          <w:lang w:val="es-ES_tradnl" w:eastAsia="es-ES"/>
        </w:rPr>
      </w:pPr>
      <w:r w:rsidRPr="009E320D">
        <w:rPr>
          <w:rFonts w:ascii="Arial" w:eastAsia="Times New Roman" w:hAnsi="Arial" w:cs="Arial"/>
          <w:b/>
          <w:bCs/>
          <w:sz w:val="24"/>
          <w:szCs w:val="24"/>
          <w:lang w:val="es-ES_tradnl" w:eastAsia="es-ES"/>
        </w:rPr>
        <w:t>Artículo 175.</w:t>
      </w:r>
      <w:r w:rsidRPr="002E074E">
        <w:rPr>
          <w:rFonts w:ascii="Arial" w:eastAsia="Times New Roman" w:hAnsi="Arial" w:cs="Arial"/>
          <w:bCs/>
          <w:sz w:val="24"/>
          <w:szCs w:val="24"/>
          <w:lang w:val="es-ES_tradnl" w:eastAsia="es-ES"/>
        </w:rPr>
        <w:t xml:space="preserve"> El Instituto dispondrá la expedición de un instrumento jurídico necesario para implementar el Servicio Profesional de Carrera de los funcionarios públicos integrantes del mismo, mediante un sistema regulador de los procesos de ingreso, adscripción, evaluación del desempeño y permanencia, considerando la profesionalización y la capacitación como elementos básicos de la promoción, ascenso, incentivos y estabilidad de los recursos humanos. </w:t>
      </w:r>
    </w:p>
    <w:p w14:paraId="7F10802C" w14:textId="77777777" w:rsidR="00E85802" w:rsidRPr="002E074E" w:rsidRDefault="00E85802" w:rsidP="00E85802">
      <w:pPr>
        <w:spacing w:after="0" w:line="240" w:lineRule="auto"/>
        <w:jc w:val="both"/>
        <w:rPr>
          <w:rFonts w:ascii="Arial" w:eastAsia="Times New Roman" w:hAnsi="Arial" w:cs="Arial"/>
          <w:sz w:val="24"/>
          <w:szCs w:val="24"/>
          <w:lang w:val="es-ES_tradnl" w:eastAsia="es-ES"/>
        </w:rPr>
      </w:pPr>
    </w:p>
    <w:p w14:paraId="3712151E" w14:textId="77777777" w:rsidR="00E85802" w:rsidRPr="009E320D" w:rsidRDefault="00E85802" w:rsidP="00E85802">
      <w:pPr>
        <w:keepNext/>
        <w:spacing w:after="0" w:line="240" w:lineRule="auto"/>
        <w:jc w:val="center"/>
        <w:outlineLvl w:val="0"/>
        <w:rPr>
          <w:rFonts w:ascii="Arial" w:eastAsia="Arial Unicode MS" w:hAnsi="Arial" w:cs="Arial"/>
          <w:b/>
          <w:bCs/>
          <w:sz w:val="24"/>
          <w:szCs w:val="24"/>
          <w:lang w:val="pt-BR" w:eastAsia="es-ES"/>
        </w:rPr>
      </w:pPr>
      <w:proofErr w:type="spellStart"/>
      <w:r w:rsidRPr="009E320D">
        <w:rPr>
          <w:rFonts w:ascii="Arial" w:eastAsia="Arial Unicode MS" w:hAnsi="Arial" w:cs="Arial"/>
          <w:b/>
          <w:bCs/>
          <w:sz w:val="24"/>
          <w:szCs w:val="24"/>
          <w:lang w:val="pt-BR" w:eastAsia="es-ES"/>
        </w:rPr>
        <w:t>DISPOSICIONES</w:t>
      </w:r>
      <w:proofErr w:type="spellEnd"/>
      <w:r w:rsidRPr="009E320D">
        <w:rPr>
          <w:rFonts w:ascii="Arial" w:eastAsia="Arial Unicode MS" w:hAnsi="Arial" w:cs="Arial"/>
          <w:b/>
          <w:bCs/>
          <w:sz w:val="24"/>
          <w:szCs w:val="24"/>
          <w:lang w:val="pt-BR" w:eastAsia="es-ES"/>
        </w:rPr>
        <w:t xml:space="preserve"> </w:t>
      </w:r>
      <w:proofErr w:type="spellStart"/>
      <w:r w:rsidRPr="009E320D">
        <w:rPr>
          <w:rFonts w:ascii="Arial" w:eastAsia="Arial Unicode MS" w:hAnsi="Arial" w:cs="Arial"/>
          <w:b/>
          <w:bCs/>
          <w:sz w:val="24"/>
          <w:szCs w:val="24"/>
          <w:lang w:val="pt-BR" w:eastAsia="es-ES"/>
        </w:rPr>
        <w:t>TRANSITORIAS</w:t>
      </w:r>
      <w:proofErr w:type="spellEnd"/>
    </w:p>
    <w:p w14:paraId="4BC0E090" w14:textId="77777777" w:rsidR="00E85802" w:rsidRPr="009E320D" w:rsidRDefault="00E85802" w:rsidP="00E85802">
      <w:pPr>
        <w:spacing w:after="0" w:line="240" w:lineRule="auto"/>
        <w:jc w:val="both"/>
        <w:rPr>
          <w:rFonts w:ascii="Arial" w:eastAsia="Times New Roman" w:hAnsi="Arial" w:cs="Arial"/>
          <w:b/>
          <w:bCs/>
          <w:sz w:val="24"/>
          <w:szCs w:val="24"/>
          <w:lang w:val="es-ES" w:eastAsia="es-ES"/>
        </w:rPr>
      </w:pPr>
    </w:p>
    <w:p w14:paraId="4173C4C9" w14:textId="77777777" w:rsidR="00E85802" w:rsidRPr="002E074E" w:rsidRDefault="00E85802" w:rsidP="00E85802">
      <w:pPr>
        <w:spacing w:after="0" w:line="240" w:lineRule="auto"/>
        <w:jc w:val="both"/>
        <w:rPr>
          <w:rFonts w:ascii="Arial" w:eastAsia="Times New Roman" w:hAnsi="Arial" w:cs="Arial"/>
          <w:sz w:val="24"/>
          <w:szCs w:val="24"/>
          <w:lang w:val="es-ES" w:eastAsia="es-ES"/>
        </w:rPr>
      </w:pPr>
      <w:proofErr w:type="gramStart"/>
      <w:r w:rsidRPr="009E320D">
        <w:rPr>
          <w:rFonts w:ascii="Arial" w:eastAsia="Times New Roman" w:hAnsi="Arial" w:cs="Arial"/>
          <w:b/>
          <w:bCs/>
          <w:sz w:val="24"/>
          <w:szCs w:val="24"/>
          <w:lang w:val="es-ES" w:eastAsia="es-ES"/>
        </w:rPr>
        <w:t>PRIMERA.-</w:t>
      </w:r>
      <w:proofErr w:type="gramEnd"/>
      <w:r w:rsidRPr="002E074E">
        <w:rPr>
          <w:rFonts w:ascii="Arial" w:eastAsia="Times New Roman" w:hAnsi="Arial" w:cs="Arial"/>
          <w:bCs/>
          <w:sz w:val="24"/>
          <w:szCs w:val="24"/>
          <w:lang w:val="es-ES" w:eastAsia="es-ES"/>
        </w:rPr>
        <w:t xml:space="preserve"> Remítase la presente Ley al Titular del Poder Ejecutivo del Estado, para los efectos que indica el artículo 44 y 70, fracción XVII de la Constitución Política del Estado Libre y Soberano de Morelos. </w:t>
      </w:r>
    </w:p>
    <w:p w14:paraId="11513002"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72AB8029" w14:textId="77777777" w:rsidR="00E85802" w:rsidRDefault="00E85802" w:rsidP="00E85802">
      <w:pPr>
        <w:spacing w:after="0" w:line="240" w:lineRule="auto"/>
        <w:jc w:val="both"/>
        <w:rPr>
          <w:rFonts w:ascii="Arial" w:eastAsia="Times New Roman" w:hAnsi="Arial" w:cs="Arial"/>
          <w:bCs/>
          <w:sz w:val="24"/>
          <w:szCs w:val="24"/>
          <w:lang w:val="es-ES" w:eastAsia="es-ES"/>
        </w:rPr>
      </w:pPr>
      <w:proofErr w:type="gramStart"/>
      <w:r w:rsidRPr="009E320D">
        <w:rPr>
          <w:rFonts w:ascii="Arial" w:eastAsia="Times New Roman" w:hAnsi="Arial" w:cs="Arial"/>
          <w:b/>
          <w:bCs/>
          <w:sz w:val="24"/>
          <w:szCs w:val="24"/>
          <w:lang w:val="es-ES" w:eastAsia="es-ES"/>
        </w:rPr>
        <w:t>SEGUNDA.-</w:t>
      </w:r>
      <w:proofErr w:type="gramEnd"/>
      <w:r w:rsidRPr="002E074E">
        <w:rPr>
          <w:rFonts w:ascii="Arial" w:eastAsia="Times New Roman" w:hAnsi="Arial" w:cs="Arial"/>
          <w:bCs/>
          <w:sz w:val="24"/>
          <w:szCs w:val="24"/>
          <w:lang w:val="es-ES" w:eastAsia="es-ES"/>
        </w:rPr>
        <w:t xml:space="preserve"> La presente Ley iniciará su vigencia al día siguiente de su publicación en el Periódico Oficial “Tierra y Libertad”, órgano de difusión de Gobierno del Estado.</w:t>
      </w:r>
    </w:p>
    <w:p w14:paraId="38609104"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6BA8247C" w14:textId="77777777" w:rsidR="00E85802" w:rsidRDefault="00E85802" w:rsidP="00E85802">
      <w:pPr>
        <w:spacing w:after="0" w:line="240" w:lineRule="auto"/>
        <w:jc w:val="both"/>
        <w:rPr>
          <w:rFonts w:ascii="Arial" w:eastAsia="Times New Roman" w:hAnsi="Arial" w:cs="Arial"/>
          <w:bCs/>
          <w:sz w:val="24"/>
          <w:szCs w:val="24"/>
          <w:lang w:val="es-ES" w:eastAsia="es-ES"/>
        </w:rPr>
      </w:pPr>
      <w:proofErr w:type="gramStart"/>
      <w:r w:rsidRPr="009E320D">
        <w:rPr>
          <w:rFonts w:ascii="Arial" w:eastAsia="Times New Roman" w:hAnsi="Arial" w:cs="Arial"/>
          <w:b/>
          <w:bCs/>
          <w:sz w:val="24"/>
          <w:szCs w:val="24"/>
          <w:lang w:val="es-ES" w:eastAsia="es-ES"/>
        </w:rPr>
        <w:lastRenderedPageBreak/>
        <w:t>TERCERA.-</w:t>
      </w:r>
      <w:proofErr w:type="gramEnd"/>
      <w:r w:rsidRPr="002E074E">
        <w:rPr>
          <w:rFonts w:ascii="Arial" w:eastAsia="Times New Roman" w:hAnsi="Arial" w:cs="Arial"/>
          <w:bCs/>
          <w:sz w:val="24"/>
          <w:szCs w:val="24"/>
          <w:lang w:val="es-ES" w:eastAsia="es-ES"/>
        </w:rPr>
        <w:t xml:space="preserve"> Se Abroga la Ley de Información Pública, Estadística y Protección de Datos Personales del Estado de Morelos, publicada el 27 de agosto de 2003, en el Periódico Oficial “Tierra y Libertad”.</w:t>
      </w:r>
    </w:p>
    <w:p w14:paraId="2C8CA7AD"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2B0970CA" w14:textId="77777777" w:rsidR="00E85802" w:rsidRDefault="00E85802" w:rsidP="00E85802">
      <w:pPr>
        <w:autoSpaceDE w:val="0"/>
        <w:autoSpaceDN w:val="0"/>
        <w:adjustRightInd w:val="0"/>
        <w:spacing w:after="0" w:line="240" w:lineRule="auto"/>
        <w:jc w:val="both"/>
        <w:rPr>
          <w:rFonts w:ascii="Arial" w:hAnsi="Arial" w:cs="Arial"/>
          <w:sz w:val="24"/>
          <w:szCs w:val="24"/>
        </w:rPr>
      </w:pPr>
      <w:proofErr w:type="gramStart"/>
      <w:r w:rsidRPr="009E320D">
        <w:rPr>
          <w:rFonts w:ascii="Arial" w:hAnsi="Arial" w:cs="Arial"/>
          <w:b/>
          <w:sz w:val="24"/>
          <w:szCs w:val="24"/>
        </w:rPr>
        <w:t>CUARTA.-</w:t>
      </w:r>
      <w:proofErr w:type="gramEnd"/>
      <w:r w:rsidRPr="002E074E">
        <w:rPr>
          <w:rFonts w:ascii="Arial" w:hAnsi="Arial" w:cs="Arial"/>
          <w:sz w:val="24"/>
          <w:szCs w:val="24"/>
        </w:rPr>
        <w:t xml:space="preserve"> Los recursos iniciados con anterioridad a la entrada en vigor de la presente ley, continuarán tramitándose hasta su resolución final conforme a las disposiciones aplicables vigentes a su inicio, salvo lo que se refiere al cumplimiento y ejecución de las sentencias que se llevarán a cabo conforme a las reglas de esta Ley.</w:t>
      </w:r>
    </w:p>
    <w:p w14:paraId="2438C02A" w14:textId="77777777" w:rsidR="00E85802" w:rsidRPr="002E074E" w:rsidRDefault="00E85802" w:rsidP="00E85802">
      <w:pPr>
        <w:autoSpaceDE w:val="0"/>
        <w:autoSpaceDN w:val="0"/>
        <w:adjustRightInd w:val="0"/>
        <w:spacing w:after="0" w:line="240" w:lineRule="auto"/>
        <w:jc w:val="both"/>
        <w:rPr>
          <w:rFonts w:ascii="Arial" w:hAnsi="Arial" w:cs="Arial"/>
          <w:sz w:val="24"/>
          <w:szCs w:val="24"/>
        </w:rPr>
      </w:pPr>
    </w:p>
    <w:p w14:paraId="3030C960"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roofErr w:type="gramStart"/>
      <w:r w:rsidRPr="009E320D">
        <w:rPr>
          <w:rFonts w:ascii="Arial" w:eastAsia="Times New Roman" w:hAnsi="Arial" w:cs="Arial"/>
          <w:b/>
          <w:bCs/>
          <w:sz w:val="24"/>
          <w:szCs w:val="24"/>
          <w:lang w:val="es-ES" w:eastAsia="es-ES"/>
        </w:rPr>
        <w:t>QUINTA.-</w:t>
      </w:r>
      <w:proofErr w:type="gramEnd"/>
      <w:r w:rsidRPr="002E074E">
        <w:rPr>
          <w:rFonts w:ascii="Arial" w:eastAsia="Times New Roman" w:hAnsi="Arial" w:cs="Arial"/>
          <w:bCs/>
          <w:sz w:val="24"/>
          <w:szCs w:val="24"/>
          <w:lang w:val="es-ES" w:eastAsia="es-ES"/>
        </w:rPr>
        <w:t xml:space="preserve"> Dentro de los sesenta días hábiles siguientes, contados a partir de la entrada en vigor de esta Ley, el Instituto Morelense de Información Pública, Estadística y Protección de Datos Personales, expedirá el Reglamento de la Ley correspondiente, que deberá publicarse en el Periódico Oficial “Tierra y Libertad” del Gobierno del estado de Morelos; mientras tanto continuará rigiendo el reglamento vigente en lo que no se oponga a lo previsto en este ordenamiento.</w:t>
      </w:r>
    </w:p>
    <w:p w14:paraId="5AAA319A" w14:textId="77777777" w:rsidR="00E85802" w:rsidRPr="009E320D" w:rsidRDefault="00E85802" w:rsidP="00E85802">
      <w:pPr>
        <w:spacing w:after="0" w:line="240" w:lineRule="auto"/>
        <w:jc w:val="both"/>
        <w:rPr>
          <w:rFonts w:ascii="Arial" w:eastAsia="Times New Roman" w:hAnsi="Arial" w:cs="Arial"/>
          <w:b/>
          <w:bCs/>
          <w:sz w:val="24"/>
          <w:szCs w:val="24"/>
          <w:lang w:val="es-ES" w:eastAsia="es-ES"/>
        </w:rPr>
      </w:pPr>
    </w:p>
    <w:p w14:paraId="4E3DD6F5"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roofErr w:type="gramStart"/>
      <w:r w:rsidRPr="009E320D">
        <w:rPr>
          <w:rFonts w:ascii="Arial" w:eastAsia="Times New Roman" w:hAnsi="Arial" w:cs="Arial"/>
          <w:b/>
          <w:bCs/>
          <w:sz w:val="24"/>
          <w:szCs w:val="24"/>
          <w:lang w:val="es-ES" w:eastAsia="es-ES"/>
        </w:rPr>
        <w:t>SEXTA.-</w:t>
      </w:r>
      <w:proofErr w:type="gramEnd"/>
      <w:r w:rsidRPr="002E074E">
        <w:rPr>
          <w:rFonts w:ascii="Arial" w:eastAsia="Times New Roman" w:hAnsi="Arial" w:cs="Arial"/>
          <w:bCs/>
          <w:sz w:val="24"/>
          <w:szCs w:val="24"/>
          <w:lang w:val="es-ES" w:eastAsia="es-ES"/>
        </w:rPr>
        <w:t xml:space="preserve"> El Poder Ejecutivo deberá realizar las ampliaciones presupuestales necesarias al </w:t>
      </w:r>
      <w:proofErr w:type="spellStart"/>
      <w:r w:rsidRPr="002E074E">
        <w:rPr>
          <w:rFonts w:ascii="Arial" w:eastAsia="Times New Roman" w:hAnsi="Arial" w:cs="Arial"/>
          <w:bCs/>
          <w:sz w:val="24"/>
          <w:szCs w:val="24"/>
          <w:lang w:val="es-ES" w:eastAsia="es-ES"/>
        </w:rPr>
        <w:t>IMIPE</w:t>
      </w:r>
      <w:proofErr w:type="spellEnd"/>
      <w:r w:rsidRPr="002E074E">
        <w:rPr>
          <w:rFonts w:ascii="Arial" w:eastAsia="Times New Roman" w:hAnsi="Arial" w:cs="Arial"/>
          <w:bCs/>
          <w:sz w:val="24"/>
          <w:szCs w:val="24"/>
          <w:lang w:val="es-ES" w:eastAsia="es-ES"/>
        </w:rPr>
        <w:t xml:space="preserve"> para la operación adecuada de la presente Ley.</w:t>
      </w:r>
    </w:p>
    <w:p w14:paraId="356C5211"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17952095" w14:textId="77777777" w:rsidR="00E85802"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roofErr w:type="gramStart"/>
      <w:r w:rsidRPr="009E320D">
        <w:rPr>
          <w:rFonts w:ascii="Arial" w:hAnsi="Arial" w:cs="Arial"/>
          <w:b/>
          <w:sz w:val="24"/>
          <w:szCs w:val="24"/>
          <w:u w:color="000000"/>
          <w:bdr w:val="nil"/>
          <w:lang w:eastAsia="es-MX"/>
        </w:rPr>
        <w:t>SÉPTIMA.-</w:t>
      </w:r>
      <w:proofErr w:type="gramEnd"/>
      <w:r w:rsidRPr="002E074E">
        <w:rPr>
          <w:rFonts w:ascii="Arial" w:hAnsi="Arial" w:cs="Arial"/>
          <w:sz w:val="24"/>
          <w:szCs w:val="24"/>
          <w:u w:color="000000"/>
          <w:bdr w:val="nil"/>
          <w:lang w:eastAsia="es-MX"/>
        </w:rPr>
        <w:t xml:space="preserve"> El Instituto tendrá un plazo de seis meses a partir del inicio de la vigencia de la presente Ley, para publicar el Instrumento Jurídico que regule </w:t>
      </w:r>
      <w:r w:rsidRPr="002E074E">
        <w:rPr>
          <w:rFonts w:ascii="Arial" w:hAnsi="Arial" w:cs="Arial"/>
          <w:bCs/>
          <w:sz w:val="24"/>
          <w:szCs w:val="24"/>
          <w:u w:color="000000"/>
          <w:bdr w:val="nil"/>
          <w:lang w:val="es-ES_tradnl" w:eastAsia="es-MX"/>
        </w:rPr>
        <w:t>el Servicio Profesional de Carrera</w:t>
      </w:r>
      <w:r w:rsidRPr="002E074E">
        <w:rPr>
          <w:rFonts w:ascii="Arial" w:hAnsi="Arial" w:cs="Arial"/>
          <w:sz w:val="24"/>
          <w:szCs w:val="24"/>
          <w:u w:color="000000"/>
          <w:bdr w:val="nil"/>
          <w:lang w:eastAsia="es-MX"/>
        </w:rPr>
        <w:t xml:space="preserve"> para el personal del Instituto Morelense de Información Pública y Estadística.</w:t>
      </w:r>
    </w:p>
    <w:p w14:paraId="4F0FB5C4" w14:textId="77777777" w:rsidR="00E85802" w:rsidRPr="002E074E" w:rsidRDefault="00E85802" w:rsidP="00E85802">
      <w:pPr>
        <w:pBdr>
          <w:top w:val="nil"/>
          <w:left w:val="nil"/>
          <w:bottom w:val="nil"/>
          <w:right w:val="nil"/>
          <w:between w:val="nil"/>
          <w:bar w:val="nil"/>
        </w:pBdr>
        <w:spacing w:after="0" w:line="240" w:lineRule="auto"/>
        <w:jc w:val="both"/>
        <w:rPr>
          <w:rFonts w:ascii="Arial" w:hAnsi="Arial" w:cs="Arial"/>
          <w:sz w:val="24"/>
          <w:szCs w:val="24"/>
          <w:u w:color="000000"/>
          <w:bdr w:val="nil"/>
          <w:lang w:eastAsia="es-MX"/>
        </w:rPr>
      </w:pPr>
    </w:p>
    <w:p w14:paraId="28BCFE8A" w14:textId="77777777" w:rsidR="00E85802" w:rsidRDefault="00E85802" w:rsidP="00E85802">
      <w:pPr>
        <w:autoSpaceDE w:val="0"/>
        <w:autoSpaceDN w:val="0"/>
        <w:adjustRightInd w:val="0"/>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Recinto Legislativo, en Sesión Ordinaria a los quince días del mes de marzo del año dos mil dieciséis.</w:t>
      </w:r>
    </w:p>
    <w:p w14:paraId="757DC1E8" w14:textId="77777777" w:rsidR="00E85802" w:rsidRPr="002E074E" w:rsidRDefault="00E85802" w:rsidP="00E85802">
      <w:pPr>
        <w:autoSpaceDE w:val="0"/>
        <w:autoSpaceDN w:val="0"/>
        <w:adjustRightInd w:val="0"/>
        <w:spacing w:after="0" w:line="240" w:lineRule="auto"/>
        <w:jc w:val="both"/>
        <w:rPr>
          <w:rFonts w:ascii="Arial" w:eastAsia="Times New Roman" w:hAnsi="Arial" w:cs="Arial"/>
          <w:bCs/>
          <w:sz w:val="24"/>
          <w:szCs w:val="24"/>
          <w:lang w:val="es-ES" w:eastAsia="es-ES"/>
        </w:rPr>
      </w:pPr>
    </w:p>
    <w:p w14:paraId="7484CFF3" w14:textId="77777777" w:rsidR="00E85802" w:rsidRDefault="00E85802" w:rsidP="00E85802">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 xml:space="preserve">Atentamente. Los CC. Diputados Integrantes de la Mesa Directiva del Congreso del Estado. Dip. Francisco A. Moreno Merino. Presidente. Dip. Edwin Brito </w:t>
      </w:r>
      <w:proofErr w:type="spellStart"/>
      <w:r w:rsidRPr="002E074E">
        <w:rPr>
          <w:rFonts w:ascii="Arial" w:eastAsia="Times New Roman" w:hAnsi="Arial" w:cs="Arial"/>
          <w:bCs/>
          <w:sz w:val="24"/>
          <w:szCs w:val="24"/>
          <w:lang w:val="es-ES" w:eastAsia="es-ES"/>
        </w:rPr>
        <w:t>Brito</w:t>
      </w:r>
      <w:proofErr w:type="spellEnd"/>
      <w:r w:rsidRPr="002E074E">
        <w:rPr>
          <w:rFonts w:ascii="Arial" w:eastAsia="Times New Roman" w:hAnsi="Arial" w:cs="Arial"/>
          <w:bCs/>
          <w:sz w:val="24"/>
          <w:szCs w:val="24"/>
          <w:lang w:val="es-ES" w:eastAsia="es-ES"/>
        </w:rPr>
        <w:t>. Secretaria. Dip. Efraín Esaú Mondragón Corrales. Secretario. Rúbricas.</w:t>
      </w:r>
    </w:p>
    <w:p w14:paraId="262A820F" w14:textId="77777777" w:rsidR="00E85802" w:rsidRPr="002E074E" w:rsidRDefault="00E85802" w:rsidP="00E85802">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p>
    <w:p w14:paraId="47CC38C3" w14:textId="77777777" w:rsidR="00E85802" w:rsidRPr="002E074E" w:rsidRDefault="00E85802" w:rsidP="00E85802">
      <w:pPr>
        <w:tabs>
          <w:tab w:val="left" w:pos="4592"/>
        </w:tabs>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t>Por tanto, mando se imprima, publique, circule y se le dé el debido cumplimiento.</w:t>
      </w:r>
    </w:p>
    <w:p w14:paraId="00AA7D57" w14:textId="77777777" w:rsidR="00E85802" w:rsidRDefault="00E85802" w:rsidP="00E85802">
      <w:pPr>
        <w:spacing w:after="0" w:line="240" w:lineRule="auto"/>
        <w:jc w:val="both"/>
        <w:rPr>
          <w:rFonts w:ascii="Arial" w:eastAsia="Times New Roman" w:hAnsi="Arial" w:cs="Arial"/>
          <w:bCs/>
          <w:sz w:val="24"/>
          <w:szCs w:val="24"/>
          <w:lang w:val="es-ES" w:eastAsia="es-ES"/>
        </w:rPr>
      </w:pPr>
    </w:p>
    <w:p w14:paraId="279726AF" w14:textId="77777777" w:rsidR="00E85802" w:rsidRDefault="00E85802" w:rsidP="00E85802">
      <w:pPr>
        <w:spacing w:after="0" w:line="240" w:lineRule="auto"/>
        <w:jc w:val="both"/>
        <w:rPr>
          <w:rFonts w:ascii="Arial" w:eastAsia="Times New Roman" w:hAnsi="Arial" w:cs="Arial"/>
          <w:bCs/>
          <w:sz w:val="24"/>
          <w:szCs w:val="24"/>
          <w:lang w:val="es-ES" w:eastAsia="es-ES"/>
        </w:rPr>
      </w:pPr>
      <w:r w:rsidRPr="002E074E">
        <w:rPr>
          <w:rFonts w:ascii="Arial" w:eastAsia="Times New Roman" w:hAnsi="Arial" w:cs="Arial"/>
          <w:bCs/>
          <w:sz w:val="24"/>
          <w:szCs w:val="24"/>
          <w:lang w:val="es-ES" w:eastAsia="es-ES"/>
        </w:rPr>
        <w:lastRenderedPageBreak/>
        <w:t>Dado en la Residencia del Poder Ejecutivo, Casa Morelos, en la Ciudad de Cuernavaca, Capital del estado de Morelos, a los seis días del mes de abril de dos mil dieciséis.</w:t>
      </w:r>
    </w:p>
    <w:p w14:paraId="6CB3C444" w14:textId="77777777" w:rsidR="00E85802" w:rsidRPr="002E074E" w:rsidRDefault="00E85802" w:rsidP="00E85802">
      <w:pPr>
        <w:spacing w:after="0" w:line="240" w:lineRule="auto"/>
        <w:jc w:val="both"/>
        <w:rPr>
          <w:rFonts w:ascii="Arial" w:eastAsia="Times New Roman" w:hAnsi="Arial" w:cs="Arial"/>
          <w:bCs/>
          <w:sz w:val="24"/>
          <w:szCs w:val="24"/>
          <w:lang w:val="es-ES" w:eastAsia="es-ES"/>
        </w:rPr>
      </w:pPr>
    </w:p>
    <w:p w14:paraId="477D4EFD" w14:textId="77777777" w:rsidR="00E85802" w:rsidRPr="009E320D" w:rsidRDefault="00E85802" w:rsidP="00E85802">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“SUFRAGIO EFECTIVO. NO REELECCIÓN”</w:t>
      </w:r>
    </w:p>
    <w:p w14:paraId="2D4C1FE5" w14:textId="77777777" w:rsidR="00E85802" w:rsidRPr="009E320D" w:rsidRDefault="00E85802" w:rsidP="00E85802">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GOBERNADOR CONSTITUCIONAL DEL ESTADO LIBRE Y SOBERANO DE MORELOS</w:t>
      </w:r>
    </w:p>
    <w:p w14:paraId="5C7061D1" w14:textId="77777777" w:rsidR="00E85802" w:rsidRPr="009E320D" w:rsidRDefault="00E85802" w:rsidP="00E85802">
      <w:pPr>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GRACO LUIS RAMÍREZ GARRIDO ABREU</w:t>
      </w:r>
    </w:p>
    <w:p w14:paraId="5E656FA8" w14:textId="77777777" w:rsidR="00E85802" w:rsidRPr="009E320D" w:rsidRDefault="00E85802" w:rsidP="00E85802">
      <w:pPr>
        <w:tabs>
          <w:tab w:val="left" w:pos="540"/>
        </w:tabs>
        <w:spacing w:after="0" w:line="240" w:lineRule="auto"/>
        <w:jc w:val="center"/>
        <w:rPr>
          <w:rFonts w:ascii="Arial" w:eastAsia="Times New Roman" w:hAnsi="Arial" w:cs="Arial"/>
          <w:b/>
          <w:bCs/>
          <w:sz w:val="24"/>
          <w:szCs w:val="24"/>
          <w:lang w:val="es-ES" w:eastAsia="es-ES"/>
        </w:rPr>
      </w:pPr>
      <w:r w:rsidRPr="009E320D">
        <w:rPr>
          <w:rFonts w:ascii="Arial" w:eastAsia="Times New Roman" w:hAnsi="Arial" w:cs="Arial"/>
          <w:b/>
          <w:bCs/>
          <w:sz w:val="24"/>
          <w:szCs w:val="24"/>
          <w:lang w:val="es-ES" w:eastAsia="es-ES"/>
        </w:rPr>
        <w:t>SECRETARIO DE GOBIERNO</w:t>
      </w:r>
    </w:p>
    <w:p w14:paraId="74796CF9" w14:textId="77777777" w:rsidR="00E85802" w:rsidRPr="009E320D" w:rsidRDefault="00E85802" w:rsidP="00E85802">
      <w:pPr>
        <w:spacing w:after="0" w:line="240" w:lineRule="auto"/>
        <w:jc w:val="center"/>
        <w:rPr>
          <w:rFonts w:ascii="Arial" w:eastAsia="Times New Roman" w:hAnsi="Arial" w:cs="Arial"/>
          <w:b/>
          <w:bCs/>
          <w:sz w:val="24"/>
          <w:szCs w:val="24"/>
          <w:lang w:val="es-ES" w:eastAsia="es-ES"/>
        </w:rPr>
      </w:pPr>
      <w:proofErr w:type="spellStart"/>
      <w:r w:rsidRPr="009E320D">
        <w:rPr>
          <w:rFonts w:ascii="Arial" w:eastAsia="Times New Roman" w:hAnsi="Arial" w:cs="Arial"/>
          <w:b/>
          <w:bCs/>
          <w:sz w:val="24"/>
          <w:szCs w:val="24"/>
          <w:lang w:val="es-ES" w:eastAsia="es-ES"/>
        </w:rPr>
        <w:t>M.C</w:t>
      </w:r>
      <w:proofErr w:type="spellEnd"/>
      <w:r w:rsidRPr="009E320D">
        <w:rPr>
          <w:rFonts w:ascii="Arial" w:eastAsia="Times New Roman" w:hAnsi="Arial" w:cs="Arial"/>
          <w:b/>
          <w:bCs/>
          <w:sz w:val="24"/>
          <w:szCs w:val="24"/>
          <w:lang w:val="es-ES" w:eastAsia="es-ES"/>
        </w:rPr>
        <w:t>. MATÍAS QUIROZ MEDINA</w:t>
      </w:r>
    </w:p>
    <w:p w14:paraId="715690B4" w14:textId="77777777" w:rsidR="00E85802" w:rsidRPr="009E320D" w:rsidRDefault="00E85802" w:rsidP="00E85802">
      <w:pPr>
        <w:spacing w:after="0" w:line="240" w:lineRule="auto"/>
        <w:jc w:val="center"/>
        <w:rPr>
          <w:rFonts w:ascii="Arial" w:hAnsi="Arial" w:cs="Arial"/>
          <w:b/>
          <w:sz w:val="24"/>
          <w:szCs w:val="24"/>
        </w:rPr>
      </w:pPr>
      <w:r w:rsidRPr="009E320D">
        <w:rPr>
          <w:rFonts w:ascii="Arial" w:eastAsia="Times New Roman" w:hAnsi="Arial" w:cs="Arial"/>
          <w:b/>
          <w:bCs/>
          <w:sz w:val="24"/>
          <w:szCs w:val="24"/>
          <w:lang w:val="es-ES" w:eastAsia="es-ES"/>
        </w:rPr>
        <w:t>RÚBRICAS.</w:t>
      </w:r>
    </w:p>
    <w:p w14:paraId="20FA3A29" w14:textId="77777777" w:rsidR="00E85802" w:rsidRDefault="00E85802" w:rsidP="00E85802">
      <w:pPr>
        <w:spacing w:after="0" w:line="240" w:lineRule="auto"/>
        <w:jc w:val="both"/>
        <w:rPr>
          <w:rFonts w:ascii="Arial" w:hAnsi="Arial" w:cs="Arial"/>
          <w:sz w:val="24"/>
          <w:szCs w:val="24"/>
        </w:rPr>
      </w:pPr>
    </w:p>
    <w:p w14:paraId="3A95F89B" w14:textId="77777777" w:rsidR="00E85802" w:rsidRDefault="00E85802" w:rsidP="00E85802">
      <w:pPr>
        <w:spacing w:after="0" w:line="240" w:lineRule="auto"/>
        <w:jc w:val="both"/>
        <w:rPr>
          <w:rFonts w:ascii="Arial" w:hAnsi="Arial" w:cs="Arial"/>
          <w:sz w:val="24"/>
          <w:szCs w:val="24"/>
        </w:rPr>
      </w:pPr>
    </w:p>
    <w:p w14:paraId="266F379D" w14:textId="77777777" w:rsidR="00E85802" w:rsidRPr="00501804" w:rsidRDefault="00E85802" w:rsidP="00E85802">
      <w:pPr>
        <w:spacing w:after="0" w:line="240" w:lineRule="auto"/>
        <w:jc w:val="both"/>
        <w:rPr>
          <w:rFonts w:ascii="Arial" w:eastAsia="Times New Roman" w:hAnsi="Arial" w:cs="Arial"/>
          <w:b/>
          <w:bCs/>
          <w:sz w:val="20"/>
          <w:szCs w:val="20"/>
          <w:lang w:val="es-ES" w:eastAsia="es-ES"/>
        </w:rPr>
      </w:pPr>
      <w:r w:rsidRPr="007B48B1">
        <w:rPr>
          <w:rFonts w:ascii="Arial" w:eastAsia="Times New Roman" w:hAnsi="Arial" w:cs="Arial"/>
          <w:b/>
          <w:bCs/>
          <w:sz w:val="20"/>
          <w:szCs w:val="20"/>
          <w:lang w:val="es-ES" w:eastAsia="es-ES"/>
        </w:rPr>
        <w:t>DECRETO NÚMERO MIL QUINIENTOS</w:t>
      </w:r>
      <w:r>
        <w:rPr>
          <w:rFonts w:ascii="Arial" w:eastAsia="Times New Roman" w:hAnsi="Arial" w:cs="Arial"/>
          <w:b/>
          <w:bCs/>
          <w:sz w:val="20"/>
          <w:szCs w:val="20"/>
          <w:lang w:val="es-ES" w:eastAsia="es-ES"/>
        </w:rPr>
        <w:t xml:space="preserve"> </w:t>
      </w:r>
      <w:r w:rsidRPr="007B48B1">
        <w:rPr>
          <w:rFonts w:ascii="Arial" w:hAnsi="Arial" w:cs="Arial"/>
          <w:b/>
          <w:bCs/>
          <w:iCs/>
          <w:sz w:val="20"/>
          <w:szCs w:val="20"/>
          <w:lang w:val="es-ES"/>
        </w:rPr>
        <w:t>POR EL QUE SE REFORMA</w:t>
      </w:r>
      <w:r w:rsidRPr="007B48B1">
        <w:rPr>
          <w:rFonts w:ascii="Arial" w:eastAsia="Times New Roman" w:hAnsi="Arial" w:cs="Arial"/>
          <w:b/>
          <w:bCs/>
          <w:sz w:val="20"/>
          <w:szCs w:val="20"/>
          <w:lang w:val="es-ES" w:eastAsia="es-ES"/>
        </w:rPr>
        <w:t xml:space="preserve"> LA </w:t>
      </w:r>
      <w:r w:rsidRPr="007B48B1">
        <w:rPr>
          <w:rFonts w:ascii="Arial" w:eastAsia="Times New Roman" w:hAnsi="Arial" w:cs="Arial"/>
          <w:b/>
          <w:bCs/>
          <w:sz w:val="20"/>
          <w:szCs w:val="20"/>
          <w:u w:color="000000"/>
          <w:bdr w:val="nil"/>
          <w:lang w:val="es-ES" w:eastAsia="es-ES"/>
        </w:rPr>
        <w:t xml:space="preserve">FRACCIÓN III PRIMER PÁRRAFO DEL ARTÍCULO 141, 145, PÁRRAFO PRIMERO 147, 148, PÁRRAFO PRIMERO DEL ARTÍCULO 149, FRACCIONES I SEGUNDO PÁRRAFO, II Y III DEL ARTÍCULO 158 DE LA </w:t>
      </w:r>
      <w:r w:rsidRPr="007B48B1">
        <w:rPr>
          <w:rFonts w:ascii="Arial" w:eastAsia="Times New Roman" w:hAnsi="Arial" w:cs="Arial"/>
          <w:b/>
          <w:bCs/>
          <w:sz w:val="20"/>
          <w:szCs w:val="20"/>
          <w:lang w:val="es-ES" w:eastAsia="es-ES"/>
        </w:rPr>
        <w:t>LEY DE TRANSPARENCIA Y ACCESO A LA INFORMACIÓN PÚBLICA DEL ESTADO DE MORELOS,</w:t>
      </w:r>
      <w:r>
        <w:rPr>
          <w:rFonts w:ascii="Arial" w:eastAsia="Times New Roman" w:hAnsi="Arial" w:cs="Arial"/>
          <w:b/>
          <w:bCs/>
          <w:sz w:val="20"/>
          <w:szCs w:val="20"/>
          <w:lang w:val="es-ES" w:eastAsia="es-ES"/>
        </w:rPr>
        <w:t xml:space="preserve"> </w:t>
      </w:r>
      <w:r w:rsidRPr="007B48B1">
        <w:rPr>
          <w:rFonts w:ascii="Arial" w:hAnsi="Arial" w:cs="Arial"/>
          <w:b/>
          <w:bCs/>
          <w:iCs/>
          <w:sz w:val="20"/>
          <w:szCs w:val="20"/>
          <w:lang w:val="es-ES"/>
        </w:rPr>
        <w:t>EN MATERIA DE DESINDEXACIÓN DEL SALARIO MÍNIMO.</w:t>
      </w:r>
    </w:p>
    <w:p w14:paraId="13B54BB1" w14:textId="77777777" w:rsidR="00E85802" w:rsidRDefault="00E85802" w:rsidP="00E85802">
      <w:pPr>
        <w:spacing w:after="0" w:line="240" w:lineRule="auto"/>
        <w:jc w:val="both"/>
        <w:rPr>
          <w:rFonts w:ascii="Arial" w:hAnsi="Arial" w:cs="Arial"/>
          <w:sz w:val="24"/>
          <w:szCs w:val="24"/>
        </w:rPr>
      </w:pPr>
    </w:p>
    <w:p w14:paraId="2D258DFC" w14:textId="77777777" w:rsidR="00E85802" w:rsidRPr="007B48B1" w:rsidRDefault="00E85802" w:rsidP="00E85802">
      <w:pPr>
        <w:spacing w:after="0" w:line="240" w:lineRule="auto"/>
        <w:jc w:val="center"/>
        <w:rPr>
          <w:rFonts w:ascii="Arial" w:hAnsi="Arial" w:cs="Arial"/>
          <w:b/>
          <w:sz w:val="20"/>
          <w:szCs w:val="20"/>
        </w:rPr>
      </w:pPr>
      <w:r w:rsidRPr="007B48B1">
        <w:rPr>
          <w:rFonts w:ascii="Arial" w:hAnsi="Arial" w:cs="Arial"/>
          <w:b/>
          <w:sz w:val="20"/>
          <w:szCs w:val="20"/>
        </w:rPr>
        <w:t>POEM No. 5478 de fecha 2017/03/01</w:t>
      </w:r>
    </w:p>
    <w:p w14:paraId="14C4B75E" w14:textId="77777777" w:rsidR="00E85802" w:rsidRDefault="00E85802" w:rsidP="00E85802">
      <w:pPr>
        <w:spacing w:after="0" w:line="240" w:lineRule="auto"/>
        <w:jc w:val="center"/>
        <w:rPr>
          <w:rFonts w:ascii="Arial" w:eastAsia="Times New Roman" w:hAnsi="Arial" w:cs="Arial"/>
          <w:bCs/>
          <w:sz w:val="20"/>
          <w:szCs w:val="20"/>
          <w:lang w:val="es-ES" w:eastAsia="es-ES"/>
        </w:rPr>
      </w:pPr>
    </w:p>
    <w:p w14:paraId="59BB5B2D" w14:textId="77777777" w:rsidR="00E85802" w:rsidRPr="007B48B1" w:rsidRDefault="00E85802" w:rsidP="00E85802">
      <w:pPr>
        <w:spacing w:after="0" w:line="240" w:lineRule="auto"/>
        <w:jc w:val="center"/>
        <w:rPr>
          <w:rFonts w:ascii="Arial" w:hAnsi="Arial" w:cs="Arial"/>
          <w:b/>
          <w:sz w:val="20"/>
          <w:szCs w:val="20"/>
          <w:lang w:val="es-AR"/>
        </w:rPr>
      </w:pPr>
      <w:r w:rsidRPr="007B48B1">
        <w:rPr>
          <w:rFonts w:ascii="Arial" w:eastAsia="Times New Roman" w:hAnsi="Arial" w:cs="Arial"/>
          <w:b/>
          <w:bCs/>
          <w:sz w:val="20"/>
          <w:szCs w:val="20"/>
          <w:lang w:val="es-ES" w:eastAsia="es-ES"/>
        </w:rPr>
        <w:t>DISPOSICIONES TRANSITORIAS</w:t>
      </w:r>
    </w:p>
    <w:p w14:paraId="03A5B8E0" w14:textId="77777777" w:rsidR="00E85802" w:rsidRPr="007B48B1" w:rsidRDefault="00E85802" w:rsidP="00E85802">
      <w:pPr>
        <w:spacing w:after="0" w:line="240" w:lineRule="auto"/>
        <w:jc w:val="both"/>
        <w:rPr>
          <w:rFonts w:ascii="Arial" w:hAnsi="Arial" w:cs="Arial"/>
          <w:b/>
          <w:bCs/>
          <w:sz w:val="20"/>
          <w:szCs w:val="20"/>
          <w:lang w:val="es-AR"/>
        </w:rPr>
      </w:pPr>
    </w:p>
    <w:p w14:paraId="07B20F98" w14:textId="77777777" w:rsidR="00E85802" w:rsidRPr="007B48B1" w:rsidRDefault="00E85802" w:rsidP="00E85802">
      <w:pPr>
        <w:spacing w:after="0" w:line="240" w:lineRule="auto"/>
        <w:jc w:val="both"/>
        <w:rPr>
          <w:rFonts w:ascii="Arial" w:hAnsi="Arial" w:cs="Arial"/>
          <w:bCs/>
          <w:sz w:val="20"/>
          <w:szCs w:val="20"/>
          <w:lang w:val="es-ES"/>
        </w:rPr>
      </w:pPr>
      <w:proofErr w:type="gramStart"/>
      <w:r w:rsidRPr="007B48B1">
        <w:rPr>
          <w:rFonts w:ascii="Arial" w:hAnsi="Arial" w:cs="Arial"/>
          <w:b/>
          <w:bCs/>
          <w:sz w:val="20"/>
          <w:szCs w:val="20"/>
          <w:lang w:val="es-AR"/>
        </w:rPr>
        <w:t>Primera.-</w:t>
      </w:r>
      <w:proofErr w:type="gramEnd"/>
      <w:r w:rsidRPr="007B48B1">
        <w:rPr>
          <w:rFonts w:ascii="Arial" w:hAnsi="Arial" w:cs="Arial"/>
          <w:bCs/>
          <w:sz w:val="20"/>
          <w:szCs w:val="20"/>
          <w:lang w:val="es-AR"/>
        </w:rPr>
        <w:t xml:space="preserve"> </w:t>
      </w:r>
      <w:r w:rsidRPr="007B48B1">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550CDFC2" w14:textId="77777777" w:rsidR="00E85802" w:rsidRDefault="00E85802" w:rsidP="00E85802">
      <w:pPr>
        <w:spacing w:after="0" w:line="240" w:lineRule="auto"/>
        <w:jc w:val="both"/>
        <w:rPr>
          <w:rFonts w:ascii="Arial" w:hAnsi="Arial" w:cs="Arial"/>
          <w:bCs/>
          <w:sz w:val="20"/>
          <w:szCs w:val="20"/>
          <w:lang w:val="es-ES"/>
        </w:rPr>
      </w:pPr>
    </w:p>
    <w:p w14:paraId="69F0EF63" w14:textId="77777777" w:rsidR="00E85802" w:rsidRPr="007B48B1" w:rsidRDefault="00E85802" w:rsidP="00E85802">
      <w:pPr>
        <w:spacing w:after="0" w:line="240" w:lineRule="auto"/>
        <w:jc w:val="both"/>
        <w:rPr>
          <w:rFonts w:ascii="Arial" w:hAnsi="Arial" w:cs="Arial"/>
          <w:bCs/>
          <w:sz w:val="20"/>
          <w:szCs w:val="20"/>
          <w:lang w:val="es-ES"/>
        </w:rPr>
      </w:pPr>
      <w:proofErr w:type="gramStart"/>
      <w:r w:rsidRPr="007B48B1">
        <w:rPr>
          <w:rFonts w:ascii="Arial" w:hAnsi="Arial" w:cs="Arial"/>
          <w:b/>
          <w:bCs/>
          <w:sz w:val="20"/>
          <w:szCs w:val="20"/>
          <w:lang w:val="es-ES"/>
        </w:rPr>
        <w:t>Segunda.-</w:t>
      </w:r>
      <w:proofErr w:type="gramEnd"/>
      <w:r w:rsidRPr="007B48B1">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5B1CA7F8" w14:textId="77777777" w:rsidR="00E85802" w:rsidRPr="007B48B1" w:rsidRDefault="00E85802" w:rsidP="00E85802">
      <w:pPr>
        <w:spacing w:after="0" w:line="240" w:lineRule="auto"/>
        <w:jc w:val="both"/>
        <w:rPr>
          <w:rFonts w:ascii="Arial" w:hAnsi="Arial" w:cs="Arial"/>
          <w:bCs/>
          <w:sz w:val="20"/>
          <w:szCs w:val="20"/>
          <w:lang w:val="es-AR"/>
        </w:rPr>
      </w:pPr>
      <w:proofErr w:type="gramStart"/>
      <w:r w:rsidRPr="007B48B1">
        <w:rPr>
          <w:rFonts w:ascii="Arial" w:hAnsi="Arial" w:cs="Arial"/>
          <w:b/>
          <w:bCs/>
          <w:sz w:val="20"/>
          <w:szCs w:val="20"/>
          <w:lang w:val="es-AR"/>
        </w:rPr>
        <w:t>Tercera.-</w:t>
      </w:r>
      <w:proofErr w:type="gramEnd"/>
      <w:r w:rsidRPr="007B48B1">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7564AA5C" w14:textId="77777777" w:rsidR="00E85802" w:rsidRDefault="00E85802" w:rsidP="00E85802">
      <w:pPr>
        <w:spacing w:after="0" w:line="240" w:lineRule="auto"/>
        <w:jc w:val="both"/>
        <w:rPr>
          <w:rFonts w:ascii="Arial" w:hAnsi="Arial" w:cs="Arial"/>
          <w:bCs/>
          <w:sz w:val="20"/>
          <w:szCs w:val="20"/>
          <w:lang w:val="es-AR"/>
        </w:rPr>
      </w:pPr>
    </w:p>
    <w:p w14:paraId="31E88063" w14:textId="77777777" w:rsidR="00E85802" w:rsidRPr="007B48B1" w:rsidRDefault="00E85802" w:rsidP="00E85802">
      <w:pPr>
        <w:spacing w:after="0" w:line="240" w:lineRule="auto"/>
        <w:jc w:val="both"/>
        <w:rPr>
          <w:rFonts w:ascii="Arial" w:hAnsi="Arial" w:cs="Arial"/>
          <w:bCs/>
          <w:sz w:val="20"/>
          <w:szCs w:val="20"/>
          <w:lang w:val="es-AR"/>
        </w:rPr>
      </w:pPr>
      <w:proofErr w:type="gramStart"/>
      <w:r w:rsidRPr="007B48B1">
        <w:rPr>
          <w:rFonts w:ascii="Arial" w:hAnsi="Arial" w:cs="Arial"/>
          <w:b/>
          <w:bCs/>
          <w:sz w:val="20"/>
          <w:szCs w:val="20"/>
          <w:lang w:val="es-AR"/>
        </w:rPr>
        <w:t>Cuarta.-</w:t>
      </w:r>
      <w:proofErr w:type="gramEnd"/>
      <w:r w:rsidRPr="007B48B1">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14:paraId="3F921E45" w14:textId="77777777" w:rsidR="00E85802" w:rsidRDefault="00E85802" w:rsidP="00E85802">
      <w:pPr>
        <w:spacing w:after="0" w:line="240" w:lineRule="auto"/>
        <w:jc w:val="both"/>
        <w:rPr>
          <w:rFonts w:ascii="Arial" w:hAnsi="Arial" w:cs="Arial"/>
          <w:sz w:val="24"/>
          <w:szCs w:val="24"/>
        </w:rPr>
      </w:pPr>
    </w:p>
    <w:p w14:paraId="63A021C5" w14:textId="77777777" w:rsidR="00E85802" w:rsidRPr="00CD2DF9" w:rsidRDefault="00E85802" w:rsidP="00E85802">
      <w:pPr>
        <w:tabs>
          <w:tab w:val="center" w:pos="3968"/>
          <w:tab w:val="left" w:pos="6330"/>
        </w:tabs>
        <w:spacing w:after="0" w:line="240" w:lineRule="auto"/>
        <w:jc w:val="both"/>
        <w:rPr>
          <w:rFonts w:ascii="Arial" w:eastAsia="Times New Roman" w:hAnsi="Arial" w:cs="Arial"/>
          <w:b/>
          <w:bCs/>
          <w:sz w:val="20"/>
          <w:szCs w:val="20"/>
          <w:lang w:val="es-ES" w:eastAsia="es-ES"/>
        </w:rPr>
      </w:pPr>
      <w:r w:rsidRPr="00CD2DF9">
        <w:rPr>
          <w:rFonts w:ascii="Arial" w:eastAsia="Times New Roman" w:hAnsi="Arial" w:cs="Arial"/>
          <w:b/>
          <w:bCs/>
          <w:sz w:val="20"/>
          <w:szCs w:val="20"/>
          <w:lang w:val="es-ES" w:eastAsia="es-ES"/>
        </w:rPr>
        <w:lastRenderedPageBreak/>
        <w:t>DECRETO NÚMERO MIL SETECIENTOS CINCUENTA Y SEIS</w:t>
      </w:r>
      <w:r>
        <w:rPr>
          <w:rFonts w:ascii="Arial" w:eastAsia="Times New Roman" w:hAnsi="Arial" w:cs="Arial"/>
          <w:b/>
          <w:bCs/>
          <w:sz w:val="20"/>
          <w:szCs w:val="20"/>
          <w:lang w:val="es-ES" w:eastAsia="es-ES"/>
        </w:rPr>
        <w:t xml:space="preserve"> </w:t>
      </w:r>
      <w:r w:rsidRPr="00CD2DF9">
        <w:rPr>
          <w:rFonts w:ascii="Arial" w:eastAsia="Times New Roman" w:hAnsi="Arial" w:cs="Arial"/>
          <w:b/>
          <w:bCs/>
          <w:sz w:val="20"/>
          <w:szCs w:val="20"/>
          <w:lang w:val="es-ES" w:eastAsia="es-ES"/>
        </w:rPr>
        <w:t>POR EL QUE SE REFORMAN DIVERSAS DISPOSICIONES DE LA LEY DE TRANSPARENCIA Y ACCESO A LA INFORMACIÓN PÚBLICA DEL ESTADO DE MORELOS.</w:t>
      </w:r>
    </w:p>
    <w:p w14:paraId="113C6134" w14:textId="77777777" w:rsidR="00E85802" w:rsidRDefault="00E85802" w:rsidP="00E85802">
      <w:pPr>
        <w:spacing w:after="0" w:line="240" w:lineRule="auto"/>
        <w:jc w:val="both"/>
        <w:rPr>
          <w:rFonts w:ascii="Arial" w:hAnsi="Arial" w:cs="Arial"/>
          <w:sz w:val="24"/>
          <w:szCs w:val="24"/>
        </w:rPr>
      </w:pPr>
    </w:p>
    <w:p w14:paraId="5469CB2D" w14:textId="77777777" w:rsidR="00E85802" w:rsidRPr="007B48B1" w:rsidRDefault="00E85802" w:rsidP="00E85802">
      <w:pPr>
        <w:spacing w:after="0" w:line="240" w:lineRule="auto"/>
        <w:jc w:val="center"/>
        <w:rPr>
          <w:rFonts w:ascii="Arial" w:hAnsi="Arial" w:cs="Arial"/>
          <w:b/>
          <w:sz w:val="20"/>
          <w:szCs w:val="20"/>
        </w:rPr>
      </w:pPr>
      <w:r>
        <w:rPr>
          <w:rFonts w:ascii="Arial" w:hAnsi="Arial" w:cs="Arial"/>
          <w:b/>
          <w:sz w:val="20"/>
          <w:szCs w:val="20"/>
        </w:rPr>
        <w:t>POEM No. 5490 de fecha 2017/04/19</w:t>
      </w:r>
    </w:p>
    <w:p w14:paraId="79A45B88" w14:textId="77777777" w:rsidR="00E85802" w:rsidRPr="00CD2DF9" w:rsidRDefault="00E85802" w:rsidP="00E85802">
      <w:pPr>
        <w:spacing w:after="0" w:line="240" w:lineRule="auto"/>
        <w:jc w:val="both"/>
        <w:rPr>
          <w:rFonts w:ascii="Arial" w:hAnsi="Arial" w:cs="Arial"/>
          <w:b/>
          <w:sz w:val="24"/>
          <w:szCs w:val="24"/>
        </w:rPr>
      </w:pPr>
    </w:p>
    <w:p w14:paraId="3158569C" w14:textId="77777777" w:rsidR="00E85802" w:rsidRPr="00CD2DF9" w:rsidRDefault="00E85802" w:rsidP="00E85802">
      <w:pPr>
        <w:autoSpaceDE w:val="0"/>
        <w:autoSpaceDN w:val="0"/>
        <w:adjustRightInd w:val="0"/>
        <w:spacing w:after="0" w:line="240" w:lineRule="auto"/>
        <w:jc w:val="center"/>
        <w:rPr>
          <w:rFonts w:ascii="Arial" w:eastAsia="Times New Roman" w:hAnsi="Arial" w:cs="Arial"/>
          <w:b/>
          <w:sz w:val="20"/>
          <w:szCs w:val="20"/>
          <w:lang w:val="es-ES" w:eastAsia="es-ES"/>
        </w:rPr>
      </w:pPr>
      <w:r w:rsidRPr="00CD2DF9">
        <w:rPr>
          <w:rFonts w:ascii="Arial" w:eastAsia="Times New Roman" w:hAnsi="Arial" w:cs="Arial"/>
          <w:b/>
          <w:bCs/>
          <w:sz w:val="20"/>
          <w:szCs w:val="20"/>
          <w:lang w:val="es-ES" w:eastAsia="es-ES"/>
        </w:rPr>
        <w:t>DISPOSICIONES TRANSITORIAS</w:t>
      </w:r>
    </w:p>
    <w:p w14:paraId="24FF6F39" w14:textId="77777777" w:rsidR="00E85802" w:rsidRDefault="00E85802" w:rsidP="00E85802">
      <w:pPr>
        <w:spacing w:after="0" w:line="240" w:lineRule="auto"/>
        <w:jc w:val="both"/>
        <w:rPr>
          <w:rFonts w:ascii="Arial" w:eastAsia="Times New Roman" w:hAnsi="Arial" w:cs="Arial"/>
          <w:bCs/>
          <w:sz w:val="20"/>
          <w:szCs w:val="20"/>
          <w:lang w:val="es-ES" w:eastAsia="es-ES"/>
        </w:rPr>
      </w:pPr>
    </w:p>
    <w:p w14:paraId="765A9B4C" w14:textId="77777777" w:rsidR="00E85802" w:rsidRPr="00CD2DF9" w:rsidRDefault="00E85802" w:rsidP="00E85802">
      <w:pPr>
        <w:spacing w:after="0" w:line="240" w:lineRule="auto"/>
        <w:jc w:val="both"/>
        <w:rPr>
          <w:rFonts w:ascii="Arial" w:eastAsia="Times New Roman" w:hAnsi="Arial" w:cs="Arial"/>
          <w:bCs/>
          <w:sz w:val="20"/>
          <w:szCs w:val="20"/>
          <w:lang w:val="es-ES" w:eastAsia="es-ES"/>
        </w:rPr>
      </w:pPr>
      <w:r w:rsidRPr="00CD2DF9">
        <w:rPr>
          <w:rFonts w:ascii="Arial" w:eastAsia="Times New Roman" w:hAnsi="Arial" w:cs="Arial"/>
          <w:b/>
          <w:bCs/>
          <w:sz w:val="20"/>
          <w:szCs w:val="20"/>
          <w:lang w:val="es-ES" w:eastAsia="es-ES"/>
        </w:rPr>
        <w:t>PRIMERA.</w:t>
      </w:r>
      <w:r w:rsidRPr="00CD2DF9">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0D04984A" w14:textId="77777777" w:rsidR="00E85802" w:rsidRDefault="00E85802" w:rsidP="00E85802">
      <w:pPr>
        <w:spacing w:after="0" w:line="240" w:lineRule="auto"/>
        <w:jc w:val="both"/>
        <w:rPr>
          <w:rFonts w:ascii="Arial" w:eastAsia="Times New Roman" w:hAnsi="Arial" w:cs="Arial"/>
          <w:bCs/>
          <w:sz w:val="20"/>
          <w:szCs w:val="20"/>
          <w:lang w:val="es-ES" w:eastAsia="es-ES"/>
        </w:rPr>
      </w:pPr>
    </w:p>
    <w:p w14:paraId="04531518" w14:textId="77777777" w:rsidR="00E85802" w:rsidRDefault="00E85802" w:rsidP="00E85802">
      <w:pPr>
        <w:spacing w:after="0" w:line="240" w:lineRule="auto"/>
        <w:jc w:val="both"/>
        <w:rPr>
          <w:rFonts w:ascii="Arial" w:eastAsia="Times New Roman" w:hAnsi="Arial" w:cs="Arial"/>
          <w:bCs/>
          <w:sz w:val="20"/>
          <w:szCs w:val="20"/>
          <w:lang w:val="es-ES" w:eastAsia="es-ES"/>
        </w:rPr>
      </w:pPr>
      <w:r w:rsidRPr="00CD2DF9">
        <w:rPr>
          <w:rFonts w:ascii="Arial" w:eastAsia="Times New Roman" w:hAnsi="Arial" w:cs="Arial"/>
          <w:b/>
          <w:bCs/>
          <w:sz w:val="20"/>
          <w:szCs w:val="20"/>
          <w:lang w:val="es-ES" w:eastAsia="es-ES"/>
        </w:rPr>
        <w:t>SEGUNDA.</w:t>
      </w:r>
      <w:r w:rsidRPr="00CD2DF9">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025CF4C4" w14:textId="77777777" w:rsidR="00E85802" w:rsidRDefault="00E85802" w:rsidP="00E85802">
      <w:pPr>
        <w:spacing w:after="0" w:line="240" w:lineRule="auto"/>
        <w:jc w:val="both"/>
        <w:rPr>
          <w:rFonts w:ascii="Arial" w:eastAsia="Times New Roman" w:hAnsi="Arial" w:cs="Arial"/>
          <w:bCs/>
          <w:sz w:val="20"/>
          <w:szCs w:val="20"/>
          <w:lang w:val="es-ES" w:eastAsia="es-ES"/>
        </w:rPr>
      </w:pPr>
    </w:p>
    <w:p w14:paraId="4326BBC6" w14:textId="77777777" w:rsidR="00E85802" w:rsidRPr="00501804" w:rsidRDefault="00E85802" w:rsidP="00E85802">
      <w:pPr>
        <w:spacing w:after="0" w:line="240" w:lineRule="auto"/>
        <w:jc w:val="both"/>
        <w:rPr>
          <w:rFonts w:ascii="Arial" w:eastAsia="Times New Roman" w:hAnsi="Arial" w:cs="Arial"/>
          <w:b/>
          <w:bCs/>
          <w:sz w:val="20"/>
          <w:szCs w:val="20"/>
          <w:lang w:eastAsia="es-ES"/>
        </w:rPr>
      </w:pPr>
      <w:r w:rsidRPr="00501804">
        <w:rPr>
          <w:rFonts w:ascii="Arial" w:eastAsia="Times New Roman" w:hAnsi="Arial" w:cs="Arial"/>
          <w:b/>
          <w:bCs/>
          <w:sz w:val="20"/>
          <w:szCs w:val="20"/>
          <w:lang w:eastAsia="es-ES"/>
        </w:rPr>
        <w:t>DECRETO NÚMERO TREINTA Y SIETE POR EL QUE SE REFORMAN Y ADICIONAN DIVERSAS DISPOSICIONES DE LA LEY DE TRANSPARENCIA Y ACCESO A LA INFORMACIÓN PÚBLICA DEL ESTADO DE MORELOS.</w:t>
      </w:r>
    </w:p>
    <w:p w14:paraId="3FFE7A17" w14:textId="77777777" w:rsidR="00E85802" w:rsidRPr="00501804" w:rsidRDefault="00E85802" w:rsidP="00E85802">
      <w:pPr>
        <w:spacing w:after="0" w:line="240" w:lineRule="auto"/>
        <w:jc w:val="center"/>
        <w:rPr>
          <w:rFonts w:ascii="Arial" w:eastAsia="Times New Roman" w:hAnsi="Arial" w:cs="Arial"/>
          <w:b/>
          <w:bCs/>
          <w:sz w:val="20"/>
          <w:szCs w:val="20"/>
          <w:lang w:eastAsia="es-ES"/>
        </w:rPr>
      </w:pPr>
    </w:p>
    <w:p w14:paraId="209EA910" w14:textId="77777777" w:rsidR="00E85802" w:rsidRPr="00501804" w:rsidRDefault="00E85802" w:rsidP="00E85802">
      <w:pPr>
        <w:spacing w:after="0" w:line="240" w:lineRule="auto"/>
        <w:jc w:val="center"/>
        <w:rPr>
          <w:rFonts w:ascii="Arial" w:eastAsia="Times New Roman" w:hAnsi="Arial" w:cs="Arial"/>
          <w:b/>
          <w:bCs/>
          <w:sz w:val="20"/>
          <w:szCs w:val="20"/>
          <w:lang w:eastAsia="es-ES"/>
        </w:rPr>
      </w:pPr>
      <w:r w:rsidRPr="00501804">
        <w:rPr>
          <w:rFonts w:ascii="Arial" w:eastAsia="Times New Roman" w:hAnsi="Arial" w:cs="Arial"/>
          <w:b/>
          <w:bCs/>
          <w:sz w:val="20"/>
          <w:szCs w:val="20"/>
          <w:lang w:eastAsia="es-ES"/>
        </w:rPr>
        <w:t>POEM No. 6025 de fecha 2021/12/22</w:t>
      </w:r>
    </w:p>
    <w:p w14:paraId="01C88316" w14:textId="77777777" w:rsidR="00E85802" w:rsidRPr="00501804" w:rsidRDefault="00E85802" w:rsidP="00E85802">
      <w:pPr>
        <w:spacing w:after="0" w:line="240" w:lineRule="auto"/>
        <w:jc w:val="center"/>
        <w:rPr>
          <w:rFonts w:ascii="Arial" w:eastAsia="Times New Roman" w:hAnsi="Arial" w:cs="Arial"/>
          <w:b/>
          <w:bCs/>
          <w:sz w:val="20"/>
          <w:szCs w:val="20"/>
          <w:lang w:eastAsia="es-ES"/>
        </w:rPr>
      </w:pPr>
    </w:p>
    <w:p w14:paraId="0459A648" w14:textId="77777777" w:rsidR="00E85802" w:rsidRPr="00501804" w:rsidRDefault="00E85802" w:rsidP="00E85802">
      <w:pPr>
        <w:spacing w:after="0" w:line="240" w:lineRule="auto"/>
        <w:jc w:val="center"/>
        <w:rPr>
          <w:rFonts w:ascii="Arial" w:eastAsia="Times New Roman" w:hAnsi="Arial" w:cs="Arial"/>
          <w:b/>
          <w:bCs/>
          <w:sz w:val="20"/>
          <w:szCs w:val="20"/>
          <w:lang w:eastAsia="es-ES"/>
        </w:rPr>
      </w:pPr>
      <w:r w:rsidRPr="00501804">
        <w:rPr>
          <w:rFonts w:ascii="Arial" w:eastAsia="Times New Roman" w:hAnsi="Arial" w:cs="Arial"/>
          <w:b/>
          <w:bCs/>
          <w:sz w:val="20"/>
          <w:szCs w:val="20"/>
          <w:lang w:eastAsia="es-ES"/>
        </w:rPr>
        <w:t>DISPOSICIONES TRANSITORIAS</w:t>
      </w:r>
    </w:p>
    <w:p w14:paraId="7E4CCFFA" w14:textId="77777777" w:rsidR="00E85802" w:rsidRDefault="00E85802" w:rsidP="00E85802">
      <w:pPr>
        <w:spacing w:after="0" w:line="240" w:lineRule="auto"/>
        <w:jc w:val="both"/>
        <w:rPr>
          <w:rFonts w:ascii="Arial" w:eastAsia="Times New Roman" w:hAnsi="Arial" w:cs="Arial"/>
          <w:bCs/>
          <w:sz w:val="20"/>
          <w:szCs w:val="20"/>
          <w:lang w:eastAsia="es-ES"/>
        </w:rPr>
      </w:pPr>
    </w:p>
    <w:p w14:paraId="63D3A704" w14:textId="77777777" w:rsidR="00E85802" w:rsidRDefault="00E85802" w:rsidP="00E85802">
      <w:pPr>
        <w:spacing w:after="0" w:line="240" w:lineRule="auto"/>
        <w:jc w:val="both"/>
        <w:rPr>
          <w:rFonts w:ascii="Arial" w:eastAsia="Times New Roman" w:hAnsi="Arial" w:cs="Arial"/>
          <w:bCs/>
          <w:sz w:val="20"/>
          <w:szCs w:val="20"/>
          <w:lang w:eastAsia="es-ES"/>
        </w:rPr>
      </w:pPr>
      <w:r w:rsidRPr="00501804">
        <w:rPr>
          <w:rFonts w:ascii="Arial" w:eastAsia="Times New Roman" w:hAnsi="Arial" w:cs="Arial"/>
          <w:b/>
          <w:bCs/>
          <w:sz w:val="20"/>
          <w:szCs w:val="20"/>
          <w:lang w:eastAsia="es-ES"/>
        </w:rPr>
        <w:t>PRIMERA.</w:t>
      </w:r>
      <w:r w:rsidRPr="00501804">
        <w:rPr>
          <w:rFonts w:ascii="Arial" w:eastAsia="Times New Roman" w:hAnsi="Arial" w:cs="Arial"/>
          <w:bCs/>
          <w:sz w:val="20"/>
          <w:szCs w:val="20"/>
          <w:lang w:eastAsia="es-ES"/>
        </w:rPr>
        <w:t xml:space="preserve"> Aprobado el presente decreto por el poder reformador local y hecha la declaratoria correspondiente se remitirá al titular del Poder Ejecutivo del estado para que se publique en el Periódico Oficial “Tierra y Libertad”, órgano de difusión del Gobierno del Estado de Morelos, como se dispone en los artículos 44, 70, fracción XVII, inciso a), y 147 de la Constitución Política del Estado Libre y Soberano de Morelos.</w:t>
      </w:r>
    </w:p>
    <w:p w14:paraId="49BB2316" w14:textId="77777777" w:rsidR="00E85802" w:rsidRPr="00501804" w:rsidRDefault="00E85802" w:rsidP="00E85802">
      <w:pPr>
        <w:spacing w:after="0" w:line="240" w:lineRule="auto"/>
        <w:jc w:val="both"/>
        <w:rPr>
          <w:rFonts w:ascii="Arial" w:eastAsia="Times New Roman" w:hAnsi="Arial" w:cs="Arial"/>
          <w:bCs/>
          <w:sz w:val="20"/>
          <w:szCs w:val="20"/>
          <w:lang w:eastAsia="es-ES"/>
        </w:rPr>
      </w:pPr>
    </w:p>
    <w:p w14:paraId="2B3DECA5" w14:textId="77777777" w:rsidR="00E85802" w:rsidRDefault="00E85802" w:rsidP="00E85802">
      <w:pPr>
        <w:spacing w:after="0" w:line="240" w:lineRule="auto"/>
        <w:jc w:val="both"/>
        <w:rPr>
          <w:rFonts w:ascii="Arial" w:eastAsia="Times New Roman" w:hAnsi="Arial" w:cs="Arial"/>
          <w:bCs/>
          <w:sz w:val="20"/>
          <w:szCs w:val="20"/>
          <w:lang w:eastAsia="es-ES"/>
        </w:rPr>
      </w:pPr>
      <w:r w:rsidRPr="00501804">
        <w:rPr>
          <w:rFonts w:ascii="Arial" w:eastAsia="Times New Roman" w:hAnsi="Arial" w:cs="Arial"/>
          <w:b/>
          <w:bCs/>
          <w:sz w:val="20"/>
          <w:szCs w:val="20"/>
          <w:lang w:eastAsia="es-ES"/>
        </w:rPr>
        <w:t>SEGUNDA.</w:t>
      </w:r>
      <w:r w:rsidRPr="00501804">
        <w:rPr>
          <w:rFonts w:ascii="Arial" w:eastAsia="Times New Roman" w:hAnsi="Arial" w:cs="Arial"/>
          <w:bCs/>
          <w:sz w:val="20"/>
          <w:szCs w:val="20"/>
          <w:lang w:eastAsia="es-ES"/>
        </w:rPr>
        <w:t xml:space="preserve"> El presente decreto, entrará en vigor a partir del día siguiente de su publicación en el Periódico Oficial “Tierra y Libertad”, órgano de difusión del Gobierno del Estado de Morelos.</w:t>
      </w:r>
    </w:p>
    <w:p w14:paraId="01AC2DC4" w14:textId="77777777" w:rsidR="00E85802" w:rsidRPr="00501804" w:rsidRDefault="00E85802" w:rsidP="00E85802">
      <w:pPr>
        <w:spacing w:after="0" w:line="240" w:lineRule="auto"/>
        <w:jc w:val="both"/>
        <w:rPr>
          <w:rFonts w:ascii="Arial" w:eastAsia="Times New Roman" w:hAnsi="Arial" w:cs="Arial"/>
          <w:bCs/>
          <w:sz w:val="20"/>
          <w:szCs w:val="20"/>
          <w:lang w:eastAsia="es-ES"/>
        </w:rPr>
      </w:pPr>
    </w:p>
    <w:p w14:paraId="4564780B" w14:textId="77777777" w:rsidR="00E85802" w:rsidRDefault="00E85802" w:rsidP="00E85802">
      <w:pPr>
        <w:spacing w:after="0" w:line="240" w:lineRule="auto"/>
        <w:jc w:val="both"/>
        <w:rPr>
          <w:rFonts w:ascii="Arial" w:eastAsia="Times New Roman" w:hAnsi="Arial" w:cs="Arial"/>
          <w:bCs/>
          <w:sz w:val="20"/>
          <w:szCs w:val="20"/>
          <w:lang w:eastAsia="es-ES"/>
        </w:rPr>
      </w:pPr>
      <w:r w:rsidRPr="00501804">
        <w:rPr>
          <w:rFonts w:ascii="Arial" w:eastAsia="Times New Roman" w:hAnsi="Arial" w:cs="Arial"/>
          <w:b/>
          <w:bCs/>
          <w:sz w:val="20"/>
          <w:szCs w:val="20"/>
          <w:lang w:eastAsia="es-ES"/>
        </w:rPr>
        <w:t>TERCERA.</w:t>
      </w:r>
      <w:r w:rsidRPr="00501804">
        <w:rPr>
          <w:rFonts w:ascii="Arial" w:eastAsia="Times New Roman" w:hAnsi="Arial" w:cs="Arial"/>
          <w:bCs/>
          <w:sz w:val="20"/>
          <w:szCs w:val="20"/>
          <w:lang w:eastAsia="es-ES"/>
        </w:rPr>
        <w:t xml:space="preserve"> Se derogan todas las disposiciones normativas de igual o menor rango jerárquico que se opongan al contenido del presente decreto.</w:t>
      </w:r>
    </w:p>
    <w:p w14:paraId="3A5E0E8C" w14:textId="77777777" w:rsidR="00E85802" w:rsidRPr="00C41E24" w:rsidRDefault="00E85802" w:rsidP="00E85802">
      <w:pPr>
        <w:spacing w:after="0" w:line="240" w:lineRule="auto"/>
        <w:jc w:val="both"/>
        <w:rPr>
          <w:rFonts w:ascii="Arial" w:eastAsia="Times New Roman" w:hAnsi="Arial" w:cs="Arial"/>
          <w:bCs/>
          <w:sz w:val="20"/>
          <w:szCs w:val="20"/>
          <w:lang w:eastAsia="es-ES"/>
        </w:rPr>
      </w:pPr>
    </w:p>
    <w:p w14:paraId="4560E574" w14:textId="77777777" w:rsidR="00E85802" w:rsidRPr="00B758C8" w:rsidRDefault="00E85802" w:rsidP="00E85802">
      <w:pPr>
        <w:widowControl w:val="0"/>
        <w:tabs>
          <w:tab w:val="left" w:pos="8222"/>
        </w:tabs>
        <w:spacing w:after="0" w:line="218" w:lineRule="exact"/>
        <w:jc w:val="center"/>
        <w:rPr>
          <w:rFonts w:ascii="Arial" w:eastAsia="Times New Roman" w:hAnsi="Arial" w:cs="Arial"/>
          <w:b/>
          <w:bCs/>
          <w:sz w:val="20"/>
          <w:szCs w:val="20"/>
          <w:lang w:val="es-ES" w:eastAsia="es-ES"/>
        </w:rPr>
      </w:pPr>
      <w:r w:rsidRPr="00B758C8">
        <w:rPr>
          <w:rFonts w:ascii="Arial" w:eastAsia="Times New Roman" w:hAnsi="Arial" w:cs="Arial"/>
          <w:b/>
          <w:bCs/>
          <w:sz w:val="20"/>
          <w:szCs w:val="20"/>
          <w:lang w:val="es-ES" w:eastAsia="es-ES"/>
        </w:rPr>
        <w:t>DECRETO NÚMERO DOS MIL TRESCIENTOS CINCUENTA Y DOS</w:t>
      </w:r>
    </w:p>
    <w:p w14:paraId="314F6FC1" w14:textId="77777777" w:rsidR="00E85802" w:rsidRPr="00B758C8" w:rsidRDefault="00E85802" w:rsidP="00E85802">
      <w:pPr>
        <w:widowControl w:val="0"/>
        <w:tabs>
          <w:tab w:val="left" w:pos="8222"/>
        </w:tabs>
        <w:spacing w:after="0" w:line="218" w:lineRule="exact"/>
        <w:jc w:val="center"/>
        <w:rPr>
          <w:rFonts w:ascii="Arial" w:eastAsia="Times New Roman" w:hAnsi="Arial" w:cs="Arial"/>
          <w:b/>
          <w:bCs/>
          <w:sz w:val="20"/>
          <w:szCs w:val="20"/>
          <w:lang w:val="es-ES" w:eastAsia="es-ES"/>
        </w:rPr>
      </w:pPr>
      <w:r w:rsidRPr="00B758C8">
        <w:rPr>
          <w:rFonts w:ascii="Arial" w:eastAsia="Times New Roman" w:hAnsi="Arial" w:cs="Arial"/>
          <w:b/>
          <w:sz w:val="20"/>
          <w:szCs w:val="20"/>
          <w:lang w:val="es-ES" w:eastAsia="es-ES"/>
        </w:rPr>
        <w:t xml:space="preserve">POR EL QUE SE REFORMAN, ADICIONAN Y DEROGAN DIVERSAS DISPOSICIONES DE DISTINTOS CÓDIGOS Y LEYES DEL ESTADO DE MORELOS, EN MATERIA DE ARMONIZACIÓN LEGISLATIVA SOBRE OBLIGACIONES </w:t>
      </w:r>
    </w:p>
    <w:p w14:paraId="4F7F0612" w14:textId="77777777" w:rsidR="00E85802" w:rsidRDefault="00E85802" w:rsidP="00E85802">
      <w:pPr>
        <w:widowControl w:val="0"/>
        <w:spacing w:after="0" w:line="234" w:lineRule="exact"/>
        <w:jc w:val="center"/>
        <w:rPr>
          <w:rFonts w:ascii="Arial" w:eastAsia="Times New Roman" w:hAnsi="Arial" w:cs="Arial"/>
          <w:b/>
          <w:bCs/>
          <w:sz w:val="20"/>
          <w:szCs w:val="20"/>
          <w:lang w:val="es-ES" w:eastAsia="es-ES"/>
        </w:rPr>
      </w:pPr>
    </w:p>
    <w:p w14:paraId="5718BAE7" w14:textId="77777777" w:rsidR="00E85802" w:rsidRPr="00B758C8" w:rsidRDefault="00E85802" w:rsidP="00E85802">
      <w:pPr>
        <w:widowControl w:val="0"/>
        <w:spacing w:after="0" w:line="234" w:lineRule="exact"/>
        <w:jc w:val="center"/>
        <w:rPr>
          <w:rFonts w:ascii="Arial" w:eastAsia="Times New Roman" w:hAnsi="Arial" w:cs="Arial"/>
          <w:b/>
          <w:bCs/>
          <w:sz w:val="20"/>
          <w:szCs w:val="20"/>
          <w:lang w:val="es-ES" w:eastAsia="es-ES"/>
        </w:rPr>
      </w:pPr>
      <w:r w:rsidRPr="00B758C8">
        <w:rPr>
          <w:rFonts w:ascii="Arial" w:eastAsia="Times New Roman" w:hAnsi="Arial" w:cs="Arial"/>
          <w:b/>
          <w:bCs/>
          <w:sz w:val="20"/>
          <w:szCs w:val="20"/>
          <w:lang w:val="es-ES" w:eastAsia="es-ES"/>
        </w:rPr>
        <w:t>DISPOSICIONES TRANSITORIAS.</w:t>
      </w:r>
    </w:p>
    <w:p w14:paraId="6AC70C01" w14:textId="77777777" w:rsidR="00E85802" w:rsidRDefault="00E85802" w:rsidP="00E85802">
      <w:pPr>
        <w:widowControl w:val="0"/>
        <w:spacing w:after="0" w:line="234" w:lineRule="exact"/>
        <w:jc w:val="both"/>
        <w:rPr>
          <w:rFonts w:ascii="Arial" w:eastAsia="Times New Roman" w:hAnsi="Arial" w:cs="Arial"/>
          <w:b/>
          <w:bCs/>
          <w:sz w:val="20"/>
          <w:szCs w:val="20"/>
          <w:lang w:val="es-ES" w:eastAsia="es-ES"/>
        </w:rPr>
      </w:pPr>
    </w:p>
    <w:p w14:paraId="71246544" w14:textId="77777777" w:rsidR="00E85802" w:rsidRPr="00E23F61" w:rsidRDefault="00E85802" w:rsidP="00E85802">
      <w:pPr>
        <w:spacing w:after="0" w:line="240" w:lineRule="auto"/>
        <w:jc w:val="center"/>
        <w:rPr>
          <w:rFonts w:ascii="Arial" w:hAnsi="Arial" w:cs="Arial"/>
          <w:b/>
          <w:bCs/>
          <w:sz w:val="20"/>
          <w:szCs w:val="20"/>
        </w:rPr>
      </w:pPr>
      <w:r>
        <w:rPr>
          <w:rFonts w:ascii="Arial" w:hAnsi="Arial" w:cs="Arial"/>
          <w:b/>
          <w:bCs/>
          <w:sz w:val="20"/>
          <w:szCs w:val="20"/>
        </w:rPr>
        <w:t xml:space="preserve">POEM NO. 6343 </w:t>
      </w:r>
      <w:proofErr w:type="gramStart"/>
      <w:r>
        <w:rPr>
          <w:rFonts w:ascii="Arial" w:hAnsi="Arial" w:cs="Arial"/>
          <w:b/>
          <w:bCs/>
          <w:sz w:val="20"/>
          <w:szCs w:val="20"/>
        </w:rPr>
        <w:t>Segunda</w:t>
      </w:r>
      <w:proofErr w:type="gramEnd"/>
      <w:r>
        <w:rPr>
          <w:rFonts w:ascii="Arial" w:hAnsi="Arial" w:cs="Arial"/>
          <w:b/>
          <w:bCs/>
          <w:sz w:val="20"/>
          <w:szCs w:val="20"/>
        </w:rPr>
        <w:t xml:space="preserve"> Sección, de fecha 2024/09/04</w:t>
      </w:r>
    </w:p>
    <w:p w14:paraId="7187628B" w14:textId="77777777" w:rsidR="00E85802" w:rsidRPr="00B758C8" w:rsidRDefault="00E85802" w:rsidP="00E85802">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lastRenderedPageBreak/>
        <w:t xml:space="preserve">PRIMERA. </w:t>
      </w:r>
      <w:r w:rsidRPr="00B758C8">
        <w:rPr>
          <w:rFonts w:ascii="Arial" w:eastAsia="Arial Unicode MS" w:hAnsi="Arial" w:cs="Arial"/>
          <w:bCs/>
          <w:sz w:val="20"/>
          <w:szCs w:val="20"/>
          <w:lang w:val="es-ES" w:eastAsia="es-ES"/>
        </w:rPr>
        <w:t xml:space="preserve">Remítase el presente Decreto al Titular del Poder Ejecutivo Estatal, para efectos de lo dispuesto por los artículos 44, 47 y 70, fracción XVII, inciso a) de la Constitución Política del Estado Libre y Soberano de Morelos. </w:t>
      </w:r>
    </w:p>
    <w:p w14:paraId="71DC7105" w14:textId="77777777" w:rsidR="00E85802" w:rsidRDefault="00E85802" w:rsidP="00E85802">
      <w:pPr>
        <w:widowControl w:val="0"/>
        <w:spacing w:after="0" w:line="234" w:lineRule="exact"/>
        <w:jc w:val="both"/>
        <w:rPr>
          <w:rFonts w:ascii="Arial" w:eastAsia="Arial Unicode MS" w:hAnsi="Arial" w:cs="Arial"/>
          <w:bCs/>
          <w:sz w:val="20"/>
          <w:szCs w:val="20"/>
          <w:lang w:val="es-ES" w:eastAsia="es-ES"/>
        </w:rPr>
      </w:pPr>
    </w:p>
    <w:p w14:paraId="30E8B6D7" w14:textId="77777777" w:rsidR="00E85802" w:rsidRPr="00B758C8" w:rsidRDefault="00E85802" w:rsidP="00E85802">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SEGUNDA.</w:t>
      </w:r>
      <w:r w:rsidRPr="00B758C8">
        <w:rPr>
          <w:rFonts w:ascii="Arial" w:eastAsia="Arial Unicode MS"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6ABB30D7" w14:textId="77777777" w:rsidR="00E85802" w:rsidRDefault="00E85802" w:rsidP="00E85802">
      <w:pPr>
        <w:widowControl w:val="0"/>
        <w:spacing w:after="0" w:line="234" w:lineRule="exact"/>
        <w:jc w:val="both"/>
        <w:rPr>
          <w:rFonts w:ascii="Arial" w:eastAsia="Arial Unicode MS" w:hAnsi="Arial" w:cs="Arial"/>
          <w:bCs/>
          <w:sz w:val="20"/>
          <w:szCs w:val="20"/>
          <w:lang w:val="es-ES" w:eastAsia="es-ES"/>
        </w:rPr>
      </w:pPr>
    </w:p>
    <w:p w14:paraId="2A4DA709" w14:textId="77777777" w:rsidR="00E85802" w:rsidRPr="00B758C8" w:rsidRDefault="00E85802" w:rsidP="00E85802">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TERCERA.</w:t>
      </w:r>
      <w:r w:rsidRPr="00B758C8">
        <w:rPr>
          <w:rFonts w:ascii="Arial" w:eastAsia="Arial Unicode MS" w:hAnsi="Arial" w:cs="Arial"/>
          <w:bCs/>
          <w:sz w:val="20"/>
          <w:szCs w:val="20"/>
          <w:lang w:val="es-ES" w:eastAsia="es-ES"/>
        </w:rPr>
        <w:t xml:space="preserve"> El Tribunal Superior de Justicia del Estado, en el término de noventa días naturales, realizará las adecuaciones pertinentes a sus disposiciones reglamentarias y administrativas, para efecto de cumplir con las obligaciones establecidas en el presente Decreto y en los Lineamientos establecidos por el Sistema Nacional DIF.</w:t>
      </w:r>
    </w:p>
    <w:p w14:paraId="000DD293" w14:textId="77777777" w:rsidR="00E85802" w:rsidRDefault="00E85802" w:rsidP="00E85802">
      <w:pPr>
        <w:widowControl w:val="0"/>
        <w:spacing w:after="0" w:line="234" w:lineRule="exact"/>
        <w:jc w:val="both"/>
        <w:rPr>
          <w:rFonts w:ascii="Arial" w:eastAsia="Arial Unicode MS" w:hAnsi="Arial" w:cs="Arial"/>
          <w:bCs/>
          <w:sz w:val="20"/>
          <w:szCs w:val="20"/>
          <w:lang w:val="es-ES" w:eastAsia="es-ES"/>
        </w:rPr>
      </w:pPr>
    </w:p>
    <w:p w14:paraId="2D53FDC3" w14:textId="77777777" w:rsidR="00E85802" w:rsidRDefault="00E85802" w:rsidP="00E85802">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CUARTA.</w:t>
      </w:r>
      <w:r w:rsidRPr="00B758C8">
        <w:rPr>
          <w:rFonts w:ascii="Arial" w:eastAsia="Arial Unicode MS" w:hAnsi="Arial" w:cs="Arial"/>
          <w:bCs/>
          <w:sz w:val="20"/>
          <w:szCs w:val="20"/>
          <w:lang w:val="es-ES" w:eastAsia="es-ES"/>
        </w:rPr>
        <w:t xml:space="preserve"> Se derogan todas las disposiciones de igual o menor jerarquía que se opongan a lo ordenado en el presente Decreto.</w:t>
      </w:r>
    </w:p>
    <w:p w14:paraId="0A3AE9B3" w14:textId="77777777" w:rsidR="00E85802" w:rsidRDefault="00E85802" w:rsidP="00E85802">
      <w:pPr>
        <w:widowControl w:val="0"/>
        <w:spacing w:after="0" w:line="234" w:lineRule="exact"/>
        <w:jc w:val="both"/>
        <w:rPr>
          <w:rFonts w:ascii="Arial" w:eastAsia="Arial Unicode MS" w:hAnsi="Arial" w:cs="Arial"/>
          <w:bCs/>
          <w:sz w:val="20"/>
          <w:szCs w:val="20"/>
          <w:lang w:val="es-ES" w:eastAsia="es-ES"/>
        </w:rPr>
      </w:pPr>
    </w:p>
    <w:p w14:paraId="11244090" w14:textId="77777777" w:rsidR="00E85802" w:rsidRPr="001452B4" w:rsidRDefault="00E85802" w:rsidP="00E85802">
      <w:pPr>
        <w:widowControl w:val="0"/>
        <w:spacing w:after="0" w:line="234" w:lineRule="exact"/>
        <w:jc w:val="both"/>
        <w:rPr>
          <w:rFonts w:ascii="Arial" w:eastAsia="Arial Unicode MS" w:hAnsi="Arial" w:cs="Arial"/>
          <w:b/>
          <w:bCs/>
          <w:sz w:val="20"/>
          <w:szCs w:val="20"/>
          <w:lang w:val="es-ES" w:eastAsia="es-ES"/>
        </w:rPr>
      </w:pPr>
      <w:r w:rsidRPr="001452B4">
        <w:rPr>
          <w:rFonts w:ascii="Arial" w:hAnsi="Arial" w:cs="Arial"/>
          <w:b/>
          <w:sz w:val="20"/>
          <w:szCs w:val="20"/>
        </w:rPr>
        <w:t>DECRETO NÚMERO QUINIENTOS CINCUENTA Y SIETE POR EL QUE SE DEROGA LA FRACCIÓN VI DEL ARTÍCULO 53 DE LA LEY DE TRANSPARENCIA Y ACCESO A LA INFORMACIÓN PÚBLICA DEL ESTADO DE MORELOS</w:t>
      </w:r>
    </w:p>
    <w:p w14:paraId="36CD8132" w14:textId="77777777" w:rsidR="00E85802" w:rsidRDefault="00E85802" w:rsidP="00E85802">
      <w:pPr>
        <w:widowControl w:val="0"/>
        <w:spacing w:after="0" w:line="234" w:lineRule="exact"/>
        <w:jc w:val="both"/>
        <w:rPr>
          <w:rFonts w:ascii="Arial" w:hAnsi="Arial" w:cs="Arial"/>
          <w:sz w:val="20"/>
          <w:szCs w:val="20"/>
        </w:rPr>
      </w:pPr>
    </w:p>
    <w:p w14:paraId="04E22D70" w14:textId="77777777" w:rsidR="00E85802" w:rsidRPr="001452B4" w:rsidRDefault="00E85802" w:rsidP="00E85802">
      <w:pPr>
        <w:widowControl w:val="0"/>
        <w:spacing w:after="0" w:line="234" w:lineRule="exact"/>
        <w:jc w:val="center"/>
        <w:rPr>
          <w:rFonts w:ascii="Arial" w:hAnsi="Arial" w:cs="Arial"/>
          <w:b/>
          <w:sz w:val="20"/>
          <w:szCs w:val="20"/>
        </w:rPr>
      </w:pPr>
      <w:r w:rsidRPr="001452B4">
        <w:rPr>
          <w:rFonts w:ascii="Arial" w:hAnsi="Arial" w:cs="Arial"/>
          <w:b/>
          <w:sz w:val="20"/>
          <w:szCs w:val="20"/>
        </w:rPr>
        <w:t>POEM No. 6479, de fecha 2025/10/15</w:t>
      </w:r>
    </w:p>
    <w:p w14:paraId="73F5E618" w14:textId="77777777" w:rsidR="00E85802" w:rsidRDefault="00E85802" w:rsidP="00E85802">
      <w:pPr>
        <w:widowControl w:val="0"/>
        <w:spacing w:after="0" w:line="234" w:lineRule="exact"/>
        <w:jc w:val="both"/>
        <w:rPr>
          <w:rFonts w:ascii="Arial" w:hAnsi="Arial" w:cs="Arial"/>
          <w:sz w:val="20"/>
          <w:szCs w:val="20"/>
        </w:rPr>
      </w:pPr>
    </w:p>
    <w:p w14:paraId="3B8920B4" w14:textId="77777777" w:rsidR="00E85802" w:rsidRPr="001452B4" w:rsidRDefault="00E85802" w:rsidP="00E85802">
      <w:pPr>
        <w:widowControl w:val="0"/>
        <w:spacing w:after="0" w:line="234" w:lineRule="exact"/>
        <w:jc w:val="center"/>
        <w:rPr>
          <w:rFonts w:ascii="Arial" w:hAnsi="Arial" w:cs="Arial"/>
          <w:b/>
          <w:sz w:val="20"/>
          <w:szCs w:val="20"/>
        </w:rPr>
      </w:pPr>
      <w:r w:rsidRPr="001452B4">
        <w:rPr>
          <w:rFonts w:ascii="Arial" w:hAnsi="Arial" w:cs="Arial"/>
          <w:b/>
          <w:sz w:val="20"/>
          <w:szCs w:val="20"/>
        </w:rPr>
        <w:t>DISPOSICIONES TRANSITORIAS</w:t>
      </w:r>
    </w:p>
    <w:p w14:paraId="16B86825" w14:textId="77777777" w:rsidR="00E85802" w:rsidRDefault="00E85802" w:rsidP="00E85802">
      <w:pPr>
        <w:widowControl w:val="0"/>
        <w:spacing w:after="0" w:line="234" w:lineRule="exact"/>
        <w:jc w:val="both"/>
        <w:rPr>
          <w:rFonts w:ascii="Arial" w:hAnsi="Arial" w:cs="Arial"/>
          <w:sz w:val="20"/>
          <w:szCs w:val="20"/>
        </w:rPr>
      </w:pPr>
    </w:p>
    <w:p w14:paraId="3B80033F" w14:textId="77777777" w:rsidR="00E85802" w:rsidRDefault="00E85802" w:rsidP="00E85802">
      <w:pPr>
        <w:widowControl w:val="0"/>
        <w:spacing w:after="0" w:line="234" w:lineRule="exact"/>
        <w:jc w:val="both"/>
        <w:rPr>
          <w:rFonts w:ascii="Arial" w:hAnsi="Arial" w:cs="Arial"/>
          <w:sz w:val="20"/>
          <w:szCs w:val="20"/>
        </w:rPr>
      </w:pPr>
      <w:proofErr w:type="gramStart"/>
      <w:r w:rsidRPr="001452B4">
        <w:rPr>
          <w:rFonts w:ascii="Arial" w:hAnsi="Arial" w:cs="Arial"/>
          <w:b/>
          <w:sz w:val="20"/>
          <w:szCs w:val="20"/>
        </w:rPr>
        <w:t>PRIMERA.-</w:t>
      </w:r>
      <w:proofErr w:type="gramEnd"/>
      <w:r w:rsidRPr="001452B4">
        <w:rPr>
          <w:rFonts w:ascii="Arial" w:hAnsi="Arial" w:cs="Arial"/>
          <w:sz w:val="20"/>
          <w:szCs w:val="20"/>
        </w:rPr>
        <w:t xml:space="preserve"> Se remite el presente Decreto a la Titular del Poder Ejecutivo del Estado para que realice la publicación correspondiente en el Periódico Oficial ―Tierra y Libertad‖, órgano de difusión oficial del Gobierno del Estado de Morelos. </w:t>
      </w:r>
    </w:p>
    <w:p w14:paraId="39095D61" w14:textId="77777777" w:rsidR="00E85802" w:rsidRDefault="00E85802" w:rsidP="00E85802">
      <w:pPr>
        <w:widowControl w:val="0"/>
        <w:spacing w:after="0" w:line="234" w:lineRule="exact"/>
        <w:jc w:val="both"/>
        <w:rPr>
          <w:rFonts w:ascii="Arial" w:hAnsi="Arial" w:cs="Arial"/>
          <w:sz w:val="20"/>
          <w:szCs w:val="20"/>
        </w:rPr>
      </w:pPr>
    </w:p>
    <w:p w14:paraId="375035BE" w14:textId="77777777" w:rsidR="00E85802" w:rsidRDefault="00E85802" w:rsidP="00E85802">
      <w:pPr>
        <w:widowControl w:val="0"/>
        <w:spacing w:after="0" w:line="234" w:lineRule="exact"/>
        <w:jc w:val="both"/>
        <w:rPr>
          <w:rFonts w:ascii="Arial" w:hAnsi="Arial" w:cs="Arial"/>
          <w:sz w:val="20"/>
          <w:szCs w:val="20"/>
        </w:rPr>
      </w:pPr>
      <w:proofErr w:type="gramStart"/>
      <w:r w:rsidRPr="001452B4">
        <w:rPr>
          <w:rFonts w:ascii="Arial" w:hAnsi="Arial" w:cs="Arial"/>
          <w:b/>
          <w:sz w:val="20"/>
          <w:szCs w:val="20"/>
        </w:rPr>
        <w:t>SEGUNDA.-</w:t>
      </w:r>
      <w:proofErr w:type="gramEnd"/>
      <w:r w:rsidRPr="001452B4">
        <w:rPr>
          <w:rFonts w:ascii="Arial" w:hAnsi="Arial" w:cs="Arial"/>
          <w:sz w:val="20"/>
          <w:szCs w:val="20"/>
        </w:rPr>
        <w:t xml:space="preserve"> El presente Decreto entrará en vigor a partir del día siguiente de su publi</w:t>
      </w:r>
      <w:r>
        <w:rPr>
          <w:rFonts w:ascii="Arial" w:hAnsi="Arial" w:cs="Arial"/>
          <w:sz w:val="20"/>
          <w:szCs w:val="20"/>
        </w:rPr>
        <w:t>cación en el Periódico Oficial “</w:t>
      </w:r>
      <w:r w:rsidRPr="001452B4">
        <w:rPr>
          <w:rFonts w:ascii="Arial" w:hAnsi="Arial" w:cs="Arial"/>
          <w:sz w:val="20"/>
          <w:szCs w:val="20"/>
        </w:rPr>
        <w:t>Tierra y Libertad</w:t>
      </w:r>
      <w:r>
        <w:rPr>
          <w:rFonts w:ascii="Arial" w:hAnsi="Arial" w:cs="Arial"/>
          <w:sz w:val="20"/>
          <w:szCs w:val="20"/>
        </w:rPr>
        <w:t xml:space="preserve">”, </w:t>
      </w:r>
      <w:r w:rsidRPr="001452B4">
        <w:rPr>
          <w:rFonts w:ascii="Arial" w:hAnsi="Arial" w:cs="Arial"/>
          <w:sz w:val="20"/>
          <w:szCs w:val="20"/>
        </w:rPr>
        <w:t xml:space="preserve">órgano de difusión del Gobierno del estado de Morelos. </w:t>
      </w:r>
    </w:p>
    <w:p w14:paraId="1B2A9C42" w14:textId="77777777" w:rsidR="00E85802" w:rsidRDefault="00E85802" w:rsidP="00E85802">
      <w:pPr>
        <w:widowControl w:val="0"/>
        <w:spacing w:after="0" w:line="234" w:lineRule="exact"/>
        <w:jc w:val="both"/>
        <w:rPr>
          <w:rFonts w:ascii="Arial" w:hAnsi="Arial" w:cs="Arial"/>
          <w:sz w:val="20"/>
          <w:szCs w:val="20"/>
        </w:rPr>
      </w:pPr>
    </w:p>
    <w:p w14:paraId="4CB94879" w14:textId="77777777" w:rsidR="00E85802" w:rsidRPr="001452B4" w:rsidRDefault="00E85802" w:rsidP="00E85802">
      <w:pPr>
        <w:widowControl w:val="0"/>
        <w:spacing w:after="0" w:line="234" w:lineRule="exact"/>
        <w:jc w:val="both"/>
        <w:rPr>
          <w:rFonts w:ascii="Arial" w:eastAsia="Times New Roman" w:hAnsi="Arial" w:cs="Arial"/>
          <w:bCs/>
          <w:sz w:val="20"/>
          <w:szCs w:val="20"/>
          <w:lang w:eastAsia="es-ES"/>
        </w:rPr>
      </w:pPr>
      <w:r w:rsidRPr="001452B4">
        <w:rPr>
          <w:rFonts w:ascii="Arial" w:hAnsi="Arial" w:cs="Arial"/>
          <w:b/>
          <w:sz w:val="20"/>
          <w:szCs w:val="20"/>
        </w:rPr>
        <w:t>TERCERA. –</w:t>
      </w:r>
      <w:r w:rsidRPr="001452B4">
        <w:rPr>
          <w:rFonts w:ascii="Arial" w:hAnsi="Arial" w:cs="Arial"/>
          <w:sz w:val="20"/>
          <w:szCs w:val="20"/>
        </w:rPr>
        <w:t xml:space="preserve"> Se derogan todas las disposiciones de igual rango o inferiores que se opongan a lo establecido en esta Ley.</w:t>
      </w:r>
    </w:p>
    <w:sectPr w:rsidR="00E85802" w:rsidRPr="001452B4" w:rsidSect="00195B4F">
      <w:headerReference w:type="default" r:id="rId15"/>
      <w:footerReference w:type="default" r:id="rId16"/>
      <w:headerReference w:type="first" r:id="rId17"/>
      <w:footerReference w:type="first" r:id="rId18"/>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6B162" w14:textId="77777777" w:rsidR="00F02155" w:rsidRDefault="00F02155" w:rsidP="00BA5C18">
      <w:pPr>
        <w:spacing w:after="0" w:line="240" w:lineRule="auto"/>
      </w:pPr>
      <w:r>
        <w:separator/>
      </w:r>
    </w:p>
  </w:endnote>
  <w:endnote w:type="continuationSeparator" w:id="0">
    <w:p w14:paraId="0D467CB7" w14:textId="77777777" w:rsidR="00F02155" w:rsidRDefault="00F0215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Amplitude-Bold">
    <w:altName w:val="Amplitude-Bold"/>
    <w:panose1 w:val="00000000000000000000"/>
    <w:charset w:val="00"/>
    <w:family w:val="swiss"/>
    <w:notTrueType/>
    <w:pitch w:val="default"/>
    <w:sig w:usb0="00000003" w:usb1="00000000" w:usb2="00000000" w:usb3="00000000" w:csb0="00000001" w:csb1="00000000"/>
  </w:font>
  <w:font w:name="Amplitude-Light">
    <w:altName w:val="Amplitude-Light"/>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penSymbol">
    <w:altName w:val="MS Gothic"/>
    <w:charset w:val="80"/>
    <w:family w:val="auto"/>
    <w:pitch w:val="default"/>
  </w:font>
  <w:font w:name="DejaVu Sans">
    <w:panose1 w:val="00000000000000000000"/>
    <w:charset w:val="00"/>
    <w:family w:val="roman"/>
    <w:notTrueType/>
    <w:pitch w:val="default"/>
  </w:font>
  <w:font w:name="Lohit Hindi">
    <w:panose1 w:val="00000000000000000000"/>
    <w:charset w:val="00"/>
    <w:family w:val="roman"/>
    <w:notTrueType/>
    <w:pitch w:val="default"/>
  </w:font>
  <w:font w:name="Myriad Pro Light">
    <w:altName w:val="Myriad Pro Light"/>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reka Sans">
    <w:altName w:val="Eureka Sans"/>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E85802" w:rsidRPr="00BA5C18" w14:paraId="67E8E391" w14:textId="77777777" w:rsidTr="00971782">
      <w:trPr>
        <w:trHeight w:val="154"/>
      </w:trPr>
      <w:tc>
        <w:tcPr>
          <w:tcW w:w="2242" w:type="dxa"/>
        </w:tcPr>
        <w:p w14:paraId="298E67F3"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tcPr>
        <w:p w14:paraId="5736AF1E"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2016/03/15</w:t>
          </w:r>
        </w:p>
      </w:tc>
    </w:tr>
    <w:tr w:rsidR="00E85802" w:rsidRPr="00BA5C18" w14:paraId="172E5831" w14:textId="77777777" w:rsidTr="00971782">
      <w:trPr>
        <w:trHeight w:val="149"/>
      </w:trPr>
      <w:tc>
        <w:tcPr>
          <w:tcW w:w="2242" w:type="dxa"/>
        </w:tcPr>
        <w:p w14:paraId="6C6F316D" w14:textId="77777777" w:rsidR="00E85802" w:rsidRPr="00BA5C18" w:rsidRDefault="00E85802" w:rsidP="00E85802">
          <w:pPr>
            <w:pStyle w:val="Piedepgina"/>
            <w:rPr>
              <w:rFonts w:ascii="Arial" w:hAnsi="Arial" w:cs="Arial"/>
              <w:sz w:val="16"/>
              <w:szCs w:val="16"/>
            </w:rPr>
          </w:pPr>
          <w:r>
            <w:rPr>
              <w:rFonts w:ascii="Arial" w:hAnsi="Arial" w:cs="Arial"/>
              <w:sz w:val="16"/>
              <w:szCs w:val="16"/>
            </w:rPr>
            <w:t>Promulgación</w:t>
          </w:r>
        </w:p>
      </w:tc>
      <w:tc>
        <w:tcPr>
          <w:tcW w:w="4455" w:type="dxa"/>
        </w:tcPr>
        <w:p w14:paraId="00C81731"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2016/04/06</w:t>
          </w:r>
        </w:p>
      </w:tc>
    </w:tr>
    <w:tr w:rsidR="00E85802" w:rsidRPr="00BA5C18" w14:paraId="4030090E" w14:textId="77777777" w:rsidTr="00971782">
      <w:trPr>
        <w:trHeight w:val="159"/>
      </w:trPr>
      <w:tc>
        <w:tcPr>
          <w:tcW w:w="2242" w:type="dxa"/>
        </w:tcPr>
        <w:p w14:paraId="67FA1BC7"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Publicación</w:t>
          </w:r>
        </w:p>
      </w:tc>
      <w:tc>
        <w:tcPr>
          <w:tcW w:w="4455" w:type="dxa"/>
        </w:tcPr>
        <w:p w14:paraId="01088DAE"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2016/04/27</w:t>
          </w:r>
        </w:p>
      </w:tc>
    </w:tr>
    <w:tr w:rsidR="00E85802" w:rsidRPr="00BA5C18" w14:paraId="32E9AF99" w14:textId="77777777" w:rsidTr="00971782">
      <w:trPr>
        <w:trHeight w:val="157"/>
      </w:trPr>
      <w:tc>
        <w:tcPr>
          <w:tcW w:w="2242" w:type="dxa"/>
        </w:tcPr>
        <w:p w14:paraId="0DD82473"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 xml:space="preserve">Vigencia      </w:t>
          </w:r>
        </w:p>
      </w:tc>
      <w:tc>
        <w:tcPr>
          <w:tcW w:w="4455" w:type="dxa"/>
        </w:tcPr>
        <w:p w14:paraId="37FAFDDC"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2016/04/28</w:t>
          </w:r>
        </w:p>
      </w:tc>
    </w:tr>
    <w:tr w:rsidR="00E85802" w:rsidRPr="00BA5C18" w14:paraId="15F48B33" w14:textId="77777777" w:rsidTr="00971782">
      <w:trPr>
        <w:trHeight w:val="179"/>
      </w:trPr>
      <w:tc>
        <w:tcPr>
          <w:tcW w:w="2242" w:type="dxa"/>
        </w:tcPr>
        <w:p w14:paraId="4A024FC8"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Expidió</w:t>
          </w:r>
        </w:p>
      </w:tc>
      <w:tc>
        <w:tcPr>
          <w:tcW w:w="4455" w:type="dxa"/>
        </w:tcPr>
        <w:p w14:paraId="55BB8545" w14:textId="77777777" w:rsidR="00E85802" w:rsidRPr="00BA5C18" w:rsidRDefault="00E85802" w:rsidP="00E85802">
          <w:pPr>
            <w:pStyle w:val="Piedepgina"/>
            <w:rPr>
              <w:rFonts w:ascii="Arial" w:hAnsi="Arial" w:cs="Arial"/>
              <w:sz w:val="16"/>
              <w:szCs w:val="16"/>
            </w:rPr>
          </w:pPr>
          <w:r>
            <w:rPr>
              <w:rFonts w:ascii="Arial" w:hAnsi="Arial" w:cs="Arial"/>
              <w:sz w:val="16"/>
              <w:szCs w:val="16"/>
            </w:rPr>
            <w:t>LIII Legislatura</w:t>
          </w:r>
        </w:p>
      </w:tc>
    </w:tr>
    <w:tr w:rsidR="00E85802" w:rsidRPr="00BA5C18" w14:paraId="549FDE46" w14:textId="77777777" w:rsidTr="00971782">
      <w:trPr>
        <w:trHeight w:val="174"/>
      </w:trPr>
      <w:tc>
        <w:tcPr>
          <w:tcW w:w="2242" w:type="dxa"/>
        </w:tcPr>
        <w:p w14:paraId="618CE2EA"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tcPr>
        <w:p w14:paraId="74EA1E78" w14:textId="77777777" w:rsidR="00E85802" w:rsidRPr="00BA5C18" w:rsidRDefault="00E85802" w:rsidP="00E85802">
          <w:pPr>
            <w:pStyle w:val="Piedepgina"/>
            <w:rPr>
              <w:rFonts w:ascii="Arial" w:hAnsi="Arial" w:cs="Arial"/>
              <w:sz w:val="16"/>
              <w:szCs w:val="16"/>
            </w:rPr>
          </w:pPr>
          <w:r>
            <w:rPr>
              <w:rFonts w:ascii="Arial" w:hAnsi="Arial" w:cs="Arial"/>
              <w:sz w:val="16"/>
              <w:szCs w:val="16"/>
            </w:rPr>
            <w:t>5392</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0" w:type="auto"/>
      <w:tblInd w:w="-743" w:type="dxa"/>
      <w:tblLook w:val="04A0" w:firstRow="1" w:lastRow="0" w:firstColumn="1" w:lastColumn="0" w:noHBand="0" w:noVBand="1"/>
    </w:tblPr>
    <w:tblGrid>
      <w:gridCol w:w="2242"/>
      <w:gridCol w:w="4455"/>
    </w:tblGrid>
    <w:tr w:rsidR="00E85802" w:rsidRPr="00BA5C18" w14:paraId="7EFE744E" w14:textId="77777777" w:rsidTr="00971782">
      <w:trPr>
        <w:trHeight w:val="154"/>
      </w:trPr>
      <w:tc>
        <w:tcPr>
          <w:tcW w:w="2242" w:type="dxa"/>
        </w:tcPr>
        <w:p w14:paraId="736E7307"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tcPr>
        <w:p w14:paraId="6F3FD5EA"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2016/03/15</w:t>
          </w:r>
        </w:p>
      </w:tc>
    </w:tr>
    <w:tr w:rsidR="00E85802" w:rsidRPr="00BA5C18" w14:paraId="0F83B619" w14:textId="77777777" w:rsidTr="00971782">
      <w:trPr>
        <w:trHeight w:val="149"/>
      </w:trPr>
      <w:tc>
        <w:tcPr>
          <w:tcW w:w="2242" w:type="dxa"/>
        </w:tcPr>
        <w:p w14:paraId="02C0CFBF" w14:textId="77777777" w:rsidR="00E85802" w:rsidRPr="00BA5C18" w:rsidRDefault="00E85802" w:rsidP="00E85802">
          <w:pPr>
            <w:pStyle w:val="Piedepgina"/>
            <w:rPr>
              <w:rFonts w:ascii="Arial" w:hAnsi="Arial" w:cs="Arial"/>
              <w:sz w:val="16"/>
              <w:szCs w:val="16"/>
            </w:rPr>
          </w:pPr>
          <w:r>
            <w:rPr>
              <w:rFonts w:ascii="Arial" w:hAnsi="Arial" w:cs="Arial"/>
              <w:sz w:val="16"/>
              <w:szCs w:val="16"/>
            </w:rPr>
            <w:t>Promulgación</w:t>
          </w:r>
        </w:p>
      </w:tc>
      <w:tc>
        <w:tcPr>
          <w:tcW w:w="4455" w:type="dxa"/>
        </w:tcPr>
        <w:p w14:paraId="39EE8C28"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2016/04/06</w:t>
          </w:r>
        </w:p>
      </w:tc>
    </w:tr>
    <w:tr w:rsidR="00E85802" w:rsidRPr="00BA5C18" w14:paraId="31432A8E" w14:textId="77777777" w:rsidTr="00971782">
      <w:trPr>
        <w:trHeight w:val="159"/>
      </w:trPr>
      <w:tc>
        <w:tcPr>
          <w:tcW w:w="2242" w:type="dxa"/>
        </w:tcPr>
        <w:p w14:paraId="4AEDA636"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Publicación</w:t>
          </w:r>
        </w:p>
      </w:tc>
      <w:tc>
        <w:tcPr>
          <w:tcW w:w="4455" w:type="dxa"/>
        </w:tcPr>
        <w:p w14:paraId="1A0E4A40"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2016/04/27</w:t>
          </w:r>
        </w:p>
      </w:tc>
    </w:tr>
    <w:tr w:rsidR="00E85802" w:rsidRPr="00BA5C18" w14:paraId="7D175559" w14:textId="77777777" w:rsidTr="00971782">
      <w:trPr>
        <w:trHeight w:val="157"/>
      </w:trPr>
      <w:tc>
        <w:tcPr>
          <w:tcW w:w="2242" w:type="dxa"/>
        </w:tcPr>
        <w:p w14:paraId="78C450FD"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 xml:space="preserve">Vigencia      </w:t>
          </w:r>
        </w:p>
      </w:tc>
      <w:tc>
        <w:tcPr>
          <w:tcW w:w="4455" w:type="dxa"/>
        </w:tcPr>
        <w:p w14:paraId="1E63FE16" w14:textId="77777777" w:rsidR="00E85802" w:rsidRPr="00BA5C18" w:rsidRDefault="00E85802" w:rsidP="00E85802">
          <w:pPr>
            <w:pStyle w:val="Piedepgina"/>
            <w:rPr>
              <w:rFonts w:ascii="Arial" w:hAnsi="Arial" w:cs="Arial"/>
              <w:sz w:val="16"/>
              <w:szCs w:val="16"/>
            </w:rPr>
          </w:pPr>
          <w:r>
            <w:rPr>
              <w:rFonts w:ascii="Arial" w:hAnsi="Arial" w:cs="Arial"/>
              <w:sz w:val="16"/>
              <w:szCs w:val="16"/>
            </w:rPr>
            <w:t>2016/04/28</w:t>
          </w:r>
        </w:p>
      </w:tc>
    </w:tr>
    <w:tr w:rsidR="00E85802" w:rsidRPr="00BA5C18" w14:paraId="130781AD" w14:textId="77777777" w:rsidTr="00971782">
      <w:trPr>
        <w:trHeight w:val="179"/>
      </w:trPr>
      <w:tc>
        <w:tcPr>
          <w:tcW w:w="2242" w:type="dxa"/>
        </w:tcPr>
        <w:p w14:paraId="033242DA"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Expidió</w:t>
          </w:r>
        </w:p>
      </w:tc>
      <w:tc>
        <w:tcPr>
          <w:tcW w:w="4455" w:type="dxa"/>
        </w:tcPr>
        <w:p w14:paraId="3A3B6110" w14:textId="77777777" w:rsidR="00E85802" w:rsidRPr="00BA5C18" w:rsidRDefault="00E85802" w:rsidP="00E85802">
          <w:pPr>
            <w:pStyle w:val="Piedepgina"/>
            <w:rPr>
              <w:rFonts w:ascii="Arial" w:hAnsi="Arial" w:cs="Arial"/>
              <w:sz w:val="16"/>
              <w:szCs w:val="16"/>
            </w:rPr>
          </w:pPr>
          <w:r>
            <w:rPr>
              <w:rFonts w:ascii="Arial" w:hAnsi="Arial" w:cs="Arial"/>
              <w:sz w:val="16"/>
              <w:szCs w:val="16"/>
            </w:rPr>
            <w:t>LIII Legislatura</w:t>
          </w:r>
        </w:p>
      </w:tc>
    </w:tr>
    <w:tr w:rsidR="00E85802" w:rsidRPr="00BA5C18" w14:paraId="3BC41CE2" w14:textId="77777777" w:rsidTr="00971782">
      <w:trPr>
        <w:trHeight w:val="174"/>
      </w:trPr>
      <w:tc>
        <w:tcPr>
          <w:tcW w:w="2242" w:type="dxa"/>
        </w:tcPr>
        <w:p w14:paraId="220692AE" w14:textId="77777777" w:rsidR="00E85802" w:rsidRPr="00BA5C18" w:rsidRDefault="00E85802" w:rsidP="00E85802">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tcPr>
        <w:p w14:paraId="7135E5F7" w14:textId="77777777" w:rsidR="00E85802" w:rsidRPr="00BA5C18" w:rsidRDefault="00E85802" w:rsidP="00E85802">
          <w:pPr>
            <w:pStyle w:val="Piedepgina"/>
            <w:rPr>
              <w:rFonts w:ascii="Arial" w:hAnsi="Arial" w:cs="Arial"/>
              <w:sz w:val="16"/>
              <w:szCs w:val="16"/>
            </w:rPr>
          </w:pPr>
          <w:r>
            <w:rPr>
              <w:rFonts w:ascii="Arial" w:hAnsi="Arial" w:cs="Arial"/>
              <w:sz w:val="16"/>
              <w:szCs w:val="16"/>
            </w:rPr>
            <w:t>5392</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E2989" w14:textId="77777777" w:rsidR="00F02155" w:rsidRDefault="00F02155" w:rsidP="00BA5C18">
      <w:pPr>
        <w:spacing w:after="0" w:line="240" w:lineRule="auto"/>
      </w:pPr>
      <w:r>
        <w:separator/>
      </w:r>
    </w:p>
  </w:footnote>
  <w:footnote w:type="continuationSeparator" w:id="0">
    <w:p w14:paraId="390C1481" w14:textId="77777777" w:rsidR="00F02155" w:rsidRDefault="00F0215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504D0" w14:textId="77777777" w:rsidR="00E85802" w:rsidRPr="007644EE" w:rsidRDefault="00E85802" w:rsidP="00E85802">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562504D0" w14:textId="77777777" w:rsidR="00E85802" w:rsidRPr="007644EE" w:rsidRDefault="00E85802" w:rsidP="00E85802">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892F1" w14:textId="77777777" w:rsidR="00E85802" w:rsidRPr="00AD67D8" w:rsidRDefault="00E85802" w:rsidP="00E85802">
                          <w:pPr>
                            <w:jc w:val="right"/>
                            <w:rPr>
                              <w:rFonts w:ascii="Arial" w:hAnsi="Arial" w:cs="Arial"/>
                              <w:sz w:val="14"/>
                              <w:szCs w:val="14"/>
                            </w:rPr>
                          </w:pPr>
                          <w:r>
                            <w:rPr>
                              <w:rFonts w:ascii="Arial" w:hAnsi="Arial" w:cs="Arial"/>
                              <w:sz w:val="14"/>
                              <w:szCs w:val="14"/>
                            </w:rPr>
                            <w:t>Última Reforma: 15-10-2025</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5B6892F1" w14:textId="77777777" w:rsidR="00E85802" w:rsidRPr="00AD67D8" w:rsidRDefault="00E85802" w:rsidP="00E85802">
                    <w:pPr>
                      <w:jc w:val="right"/>
                      <w:rPr>
                        <w:rFonts w:ascii="Arial" w:hAnsi="Arial" w:cs="Arial"/>
                        <w:sz w:val="14"/>
                        <w:szCs w:val="14"/>
                      </w:rPr>
                    </w:pPr>
                    <w:r>
                      <w:rPr>
                        <w:rFonts w:ascii="Arial" w:hAnsi="Arial" w:cs="Arial"/>
                        <w:sz w:val="14"/>
                        <w:szCs w:val="14"/>
                      </w:rPr>
                      <w:t>Última Reforma: 15-10-2025</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A4A5841">
              <wp:simplePos x="0" y="0"/>
              <wp:positionH relativeFrom="column">
                <wp:posOffset>-699135</wp:posOffset>
              </wp:positionH>
              <wp:positionV relativeFrom="paragraph">
                <wp:posOffset>-107950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91ED1" w14:textId="77777777" w:rsidR="00E85802" w:rsidRPr="007644EE" w:rsidRDefault="00E85802" w:rsidP="00E85802">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8.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" filled="f" stroked="f">
              <v:textbox>
                <w:txbxContent>
                  <w:p w14:paraId="17691ED1" w14:textId="77777777" w:rsidR="00E85802" w:rsidRPr="007644EE" w:rsidRDefault="00E85802" w:rsidP="00E85802">
                    <w:pPr>
                      <w:spacing w:after="0" w:line="240" w:lineRule="auto"/>
                      <w:jc w:val="right"/>
                      <w:rPr>
                        <w:rFonts w:ascii="Arial" w:hAnsi="Arial" w:cs="Arial"/>
                        <w:sz w:val="14"/>
                        <w:szCs w:val="14"/>
                      </w:rPr>
                    </w:pPr>
                    <w:r w:rsidRPr="007644EE">
                      <w:rPr>
                        <w:rFonts w:ascii="Arial" w:eastAsia="Times New Roman" w:hAnsi="Arial" w:cs="Arial"/>
                        <w:sz w:val="14"/>
                        <w:szCs w:val="14"/>
                        <w:lang w:eastAsia="es-MX"/>
                      </w:rPr>
                      <w:t>Ley de Transparencia y Acceso a la Información Pública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19A68" w14:textId="77777777" w:rsidR="00E85802" w:rsidRPr="00AD67D8" w:rsidRDefault="00E85802" w:rsidP="00E85802">
                          <w:pPr>
                            <w:jc w:val="right"/>
                            <w:rPr>
                              <w:rFonts w:ascii="Arial" w:hAnsi="Arial" w:cs="Arial"/>
                              <w:sz w:val="14"/>
                              <w:szCs w:val="14"/>
                            </w:rPr>
                          </w:pPr>
                          <w:r>
                            <w:rPr>
                              <w:rFonts w:ascii="Arial" w:hAnsi="Arial" w:cs="Arial"/>
                              <w:sz w:val="14"/>
                              <w:szCs w:val="14"/>
                            </w:rPr>
                            <w:t>Última Reforma: 15-10-2025</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B419A68" w14:textId="77777777" w:rsidR="00E85802" w:rsidRPr="00AD67D8" w:rsidRDefault="00E85802" w:rsidP="00E85802">
                    <w:pPr>
                      <w:jc w:val="right"/>
                      <w:rPr>
                        <w:rFonts w:ascii="Arial" w:hAnsi="Arial" w:cs="Arial"/>
                        <w:sz w:val="14"/>
                        <w:szCs w:val="14"/>
                      </w:rPr>
                    </w:pPr>
                    <w:r>
                      <w:rPr>
                        <w:rFonts w:ascii="Arial" w:hAnsi="Arial" w:cs="Arial"/>
                        <w:sz w:val="14"/>
                        <w:szCs w:val="14"/>
                      </w:rPr>
                      <w:t>Última Reforma: 15-10-2025</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AA8792A"/>
    <w:lvl w:ilvl="0">
      <w:start w:val="1"/>
      <w:numFmt w:val="bullet"/>
      <w:pStyle w:val="Listaconvietas1"/>
      <w:lvlText w:val=""/>
      <w:lvlJc w:val="left"/>
      <w:pPr>
        <w:tabs>
          <w:tab w:val="num" w:pos="360"/>
        </w:tabs>
        <w:ind w:left="360" w:hanging="360"/>
      </w:pPr>
      <w:rPr>
        <w:rFonts w:ascii="Symbol" w:hAnsi="Symbol" w:hint="default"/>
      </w:rPr>
    </w:lvl>
  </w:abstractNum>
  <w:abstractNum w:abstractNumId="2" w15:restartNumberingAfterBreak="0">
    <w:nsid w:val="0A5E6302"/>
    <w:multiLevelType w:val="hybridMultilevel"/>
    <w:tmpl w:val="C95C7054"/>
    <w:lvl w:ilvl="0" w:tplc="A45E3D04">
      <w:start w:val="1"/>
      <w:numFmt w:val="upperRoman"/>
      <w:pStyle w:val="IndiceCont"/>
      <w:lvlText w:val="%1."/>
      <w:lvlJc w:val="left"/>
      <w:pPr>
        <w:tabs>
          <w:tab w:val="num" w:pos="851"/>
        </w:tabs>
        <w:ind w:left="851" w:hanging="171"/>
      </w:pPr>
      <w:rPr>
        <w:rFonts w:hint="default"/>
        <w:sz w:val="20"/>
        <w:szCs w:val="2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 w15:restartNumberingAfterBreak="0">
    <w:nsid w:val="0EED5EA1"/>
    <w:multiLevelType w:val="hybridMultilevel"/>
    <w:tmpl w:val="13E82A48"/>
    <w:lvl w:ilvl="0" w:tplc="8FE01430">
      <w:start w:val="1"/>
      <w:numFmt w:val="upperLetter"/>
      <w:pStyle w:val="ImportWordListStyleDefinition4"/>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5" w15:restartNumberingAfterBreak="0">
    <w:nsid w:val="1003043D"/>
    <w:multiLevelType w:val="hybridMultilevel"/>
    <w:tmpl w:val="2DC8B6AE"/>
    <w:lvl w:ilvl="0" w:tplc="DF566F92">
      <w:start w:val="1"/>
      <w:numFmt w:val="upperLetter"/>
      <w:pStyle w:val="ImportWordListStyleDefinition9"/>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465360"/>
    <w:multiLevelType w:val="hybridMultilevel"/>
    <w:tmpl w:val="DA4AED9E"/>
    <w:lvl w:ilvl="0" w:tplc="6E542132">
      <w:start w:val="1"/>
      <w:numFmt w:val="upperLetter"/>
      <w:pStyle w:val="ImportWordListStyleDefinition6"/>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9E8014B"/>
    <w:multiLevelType w:val="hybridMultilevel"/>
    <w:tmpl w:val="8424DAAC"/>
    <w:numStyleLink w:val="Letra"/>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33AF73FA"/>
    <w:multiLevelType w:val="hybridMultilevel"/>
    <w:tmpl w:val="CC56A9A4"/>
    <w:lvl w:ilvl="0" w:tplc="6616D3E0">
      <w:start w:val="4"/>
      <w:numFmt w:val="upperRoman"/>
      <w:suff w:val="space"/>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2"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3" w15:restartNumberingAfterBreak="0">
    <w:nsid w:val="54FB773E"/>
    <w:multiLevelType w:val="hybridMultilevel"/>
    <w:tmpl w:val="68FE512E"/>
    <w:lvl w:ilvl="0" w:tplc="D2965FD6">
      <w:start w:val="1"/>
      <w:numFmt w:val="upperLetter"/>
      <w:pStyle w:val="ImportWordListStyleDefinition3"/>
      <w:lvlText w:val="%1."/>
      <w:lvlJc w:val="left"/>
      <w:pPr>
        <w:ind w:left="720" w:hanging="360"/>
      </w:pPr>
      <w:rPr>
        <w:rFonts w:ascii="Arial" w:eastAsia="Calibri" w:hAnsi="Arial" w:cs="Arial"/>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6" w15:restartNumberingAfterBreak="0">
    <w:nsid w:val="58527A2F"/>
    <w:multiLevelType w:val="hybridMultilevel"/>
    <w:tmpl w:val="8424DAAC"/>
    <w:styleLink w:val="Letra"/>
    <w:lvl w:ilvl="0" w:tplc="941EC87A">
      <w:start w:val="1"/>
      <w:numFmt w:val="upp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2" w:hanging="342"/>
      </w:pPr>
      <w:rPr>
        <w:rFonts w:hAnsi="Arial Unicode MS"/>
        <w:caps w:val="0"/>
        <w:smallCaps w:val="0"/>
        <w:strike w:val="0"/>
        <w:dstrike w:val="0"/>
        <w:outline w:val="0"/>
        <w:emboss w:val="0"/>
        <w:imprint w:val="0"/>
        <w:spacing w:val="0"/>
        <w:w w:val="100"/>
        <w:kern w:val="0"/>
        <w:position w:val="0"/>
        <w:highlight w:val="none"/>
        <w:vertAlign w:val="baseline"/>
      </w:rPr>
    </w:lvl>
    <w:lvl w:ilvl="1" w:tplc="9300F302">
      <w:start w:val="1"/>
      <w:numFmt w:val="upperRoman"/>
      <w:lvlText w:val="%2."/>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42" w:hanging="342"/>
      </w:pPr>
      <w:rPr>
        <w:rFonts w:hAnsi="Arial Unicode MS"/>
        <w:caps w:val="0"/>
        <w:smallCaps w:val="0"/>
        <w:strike w:val="0"/>
        <w:dstrike w:val="0"/>
        <w:outline w:val="0"/>
        <w:emboss w:val="0"/>
        <w:imprint w:val="0"/>
        <w:spacing w:val="0"/>
        <w:w w:val="100"/>
        <w:kern w:val="0"/>
        <w:position w:val="0"/>
        <w:highlight w:val="none"/>
        <w:vertAlign w:val="baseline"/>
      </w:rPr>
    </w:lvl>
    <w:lvl w:ilvl="2" w:tplc="5D4ED5DA">
      <w:start w:val="1"/>
      <w:numFmt w:val="upperRoman"/>
      <w:lvlText w:val="%3."/>
      <w:lvlJc w:val="left"/>
      <w:pPr>
        <w:tabs>
          <w:tab w:val="left" w:pos="220"/>
          <w:tab w:val="left" w:pos="283"/>
          <w:tab w:val="left" w:pos="720"/>
          <w:tab w:val="left" w:pos="1440"/>
          <w:tab w:val="left" w:pos="2880"/>
          <w:tab w:val="left" w:pos="3600"/>
          <w:tab w:val="left" w:pos="4320"/>
          <w:tab w:val="left" w:pos="5040"/>
          <w:tab w:val="left" w:pos="5760"/>
          <w:tab w:val="left" w:pos="6480"/>
          <w:tab w:val="left" w:pos="7200"/>
          <w:tab w:val="left" w:pos="7920"/>
          <w:tab w:val="left" w:pos="8640"/>
        </w:tabs>
        <w:ind w:left="2342" w:hanging="342"/>
      </w:pPr>
      <w:rPr>
        <w:rFonts w:hAnsi="Arial Unicode MS"/>
        <w:caps w:val="0"/>
        <w:smallCaps w:val="0"/>
        <w:strike w:val="0"/>
        <w:dstrike w:val="0"/>
        <w:outline w:val="0"/>
        <w:emboss w:val="0"/>
        <w:imprint w:val="0"/>
        <w:spacing w:val="0"/>
        <w:w w:val="100"/>
        <w:kern w:val="0"/>
        <w:position w:val="0"/>
        <w:highlight w:val="none"/>
        <w:vertAlign w:val="baseline"/>
      </w:rPr>
    </w:lvl>
    <w:lvl w:ilvl="3" w:tplc="8FC87A0A">
      <w:start w:val="1"/>
      <w:numFmt w:val="upperRoman"/>
      <w:lvlText w:val="%4."/>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42" w:hanging="342"/>
      </w:pPr>
      <w:rPr>
        <w:rFonts w:hAnsi="Arial Unicode MS"/>
        <w:caps w:val="0"/>
        <w:smallCaps w:val="0"/>
        <w:strike w:val="0"/>
        <w:dstrike w:val="0"/>
        <w:outline w:val="0"/>
        <w:emboss w:val="0"/>
        <w:imprint w:val="0"/>
        <w:spacing w:val="0"/>
        <w:w w:val="100"/>
        <w:kern w:val="0"/>
        <w:position w:val="0"/>
        <w:highlight w:val="none"/>
        <w:vertAlign w:val="baseline"/>
      </w:rPr>
    </w:lvl>
    <w:lvl w:ilvl="4" w:tplc="477A90E8">
      <w:start w:val="1"/>
      <w:numFmt w:val="upperRoman"/>
      <w:lvlText w:val="%5."/>
      <w:lvlJc w:val="left"/>
      <w:pPr>
        <w:tabs>
          <w:tab w:val="left" w:pos="220"/>
          <w:tab w:val="left" w:pos="283"/>
          <w:tab w:val="left" w:pos="720"/>
          <w:tab w:val="left" w:pos="1440"/>
          <w:tab w:val="left" w:pos="2160"/>
          <w:tab w:val="left" w:pos="2880"/>
          <w:tab w:val="left" w:pos="3600"/>
          <w:tab w:val="left" w:pos="5040"/>
          <w:tab w:val="left" w:pos="5760"/>
          <w:tab w:val="left" w:pos="6480"/>
          <w:tab w:val="left" w:pos="7200"/>
          <w:tab w:val="left" w:pos="7920"/>
          <w:tab w:val="left" w:pos="8640"/>
        </w:tabs>
        <w:ind w:left="4342" w:hanging="342"/>
      </w:pPr>
      <w:rPr>
        <w:rFonts w:hAnsi="Arial Unicode MS"/>
        <w:caps w:val="0"/>
        <w:smallCaps w:val="0"/>
        <w:strike w:val="0"/>
        <w:dstrike w:val="0"/>
        <w:outline w:val="0"/>
        <w:emboss w:val="0"/>
        <w:imprint w:val="0"/>
        <w:spacing w:val="0"/>
        <w:w w:val="100"/>
        <w:kern w:val="0"/>
        <w:position w:val="0"/>
        <w:highlight w:val="none"/>
        <w:vertAlign w:val="baseline"/>
      </w:rPr>
    </w:lvl>
    <w:lvl w:ilvl="5" w:tplc="82B008BC">
      <w:start w:val="1"/>
      <w:numFmt w:val="upperRoman"/>
      <w:lvlText w:val="%6."/>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342" w:hanging="342"/>
      </w:pPr>
      <w:rPr>
        <w:rFonts w:hAnsi="Arial Unicode MS"/>
        <w:caps w:val="0"/>
        <w:smallCaps w:val="0"/>
        <w:strike w:val="0"/>
        <w:dstrike w:val="0"/>
        <w:outline w:val="0"/>
        <w:emboss w:val="0"/>
        <w:imprint w:val="0"/>
        <w:spacing w:val="0"/>
        <w:w w:val="100"/>
        <w:kern w:val="0"/>
        <w:position w:val="0"/>
        <w:highlight w:val="none"/>
        <w:vertAlign w:val="baseline"/>
      </w:rPr>
    </w:lvl>
    <w:lvl w:ilvl="6" w:tplc="945C2F00">
      <w:start w:val="1"/>
      <w:numFmt w:val="upperRoman"/>
      <w:lvlText w:val="%7."/>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42" w:hanging="342"/>
      </w:pPr>
      <w:rPr>
        <w:rFonts w:hAnsi="Arial Unicode MS"/>
        <w:caps w:val="0"/>
        <w:smallCaps w:val="0"/>
        <w:strike w:val="0"/>
        <w:dstrike w:val="0"/>
        <w:outline w:val="0"/>
        <w:emboss w:val="0"/>
        <w:imprint w:val="0"/>
        <w:spacing w:val="0"/>
        <w:w w:val="100"/>
        <w:kern w:val="0"/>
        <w:position w:val="0"/>
        <w:highlight w:val="none"/>
        <w:vertAlign w:val="baseline"/>
      </w:rPr>
    </w:lvl>
    <w:lvl w:ilvl="7" w:tplc="88303CF0">
      <w:start w:val="1"/>
      <w:numFmt w:val="upperRoman"/>
      <w:lvlText w:val="%8."/>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920"/>
          <w:tab w:val="left" w:pos="8640"/>
        </w:tabs>
        <w:ind w:left="7342" w:hanging="342"/>
      </w:pPr>
      <w:rPr>
        <w:rFonts w:hAnsi="Arial Unicode MS"/>
        <w:caps w:val="0"/>
        <w:smallCaps w:val="0"/>
        <w:strike w:val="0"/>
        <w:dstrike w:val="0"/>
        <w:outline w:val="0"/>
        <w:emboss w:val="0"/>
        <w:imprint w:val="0"/>
        <w:spacing w:val="0"/>
        <w:w w:val="100"/>
        <w:kern w:val="0"/>
        <w:position w:val="0"/>
        <w:highlight w:val="none"/>
        <w:vertAlign w:val="baseline"/>
      </w:rPr>
    </w:lvl>
    <w:lvl w:ilvl="8" w:tplc="4ECC70D2">
      <w:start w:val="1"/>
      <w:numFmt w:val="upperRoman"/>
      <w:lvlText w:val="%9."/>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342" w:hanging="3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14"/>
  </w:num>
  <w:num w:numId="2" w16cid:durableId="1827360898">
    <w:abstractNumId w:val="12"/>
  </w:num>
  <w:num w:numId="3" w16cid:durableId="1104421591">
    <w:abstractNumId w:val="15"/>
  </w:num>
  <w:num w:numId="4" w16cid:durableId="1380780433">
    <w:abstractNumId w:val="17"/>
  </w:num>
  <w:num w:numId="5" w16cid:durableId="563686795">
    <w:abstractNumId w:val="11"/>
  </w:num>
  <w:num w:numId="6" w16cid:durableId="1726446546">
    <w:abstractNumId w:val="18"/>
  </w:num>
  <w:num w:numId="7" w16cid:durableId="1933733652">
    <w:abstractNumId w:val="4"/>
  </w:num>
  <w:num w:numId="8" w16cid:durableId="733436211">
    <w:abstractNumId w:val="0"/>
  </w:num>
  <w:num w:numId="9" w16cid:durableId="358240860">
    <w:abstractNumId w:val="9"/>
  </w:num>
  <w:num w:numId="10" w16cid:durableId="1559122497">
    <w:abstractNumId w:val="1"/>
  </w:num>
  <w:num w:numId="11" w16cid:durableId="1425762699">
    <w:abstractNumId w:val="2"/>
  </w:num>
  <w:num w:numId="12" w16cid:durableId="1167525113">
    <w:abstractNumId w:val="13"/>
  </w:num>
  <w:num w:numId="13" w16cid:durableId="1743335410">
    <w:abstractNumId w:val="5"/>
  </w:num>
  <w:num w:numId="14" w16cid:durableId="344484680">
    <w:abstractNumId w:val="7"/>
  </w:num>
  <w:num w:numId="15" w16cid:durableId="1693605928">
    <w:abstractNumId w:val="3"/>
  </w:num>
  <w:num w:numId="16" w16cid:durableId="705182671">
    <w:abstractNumId w:val="16"/>
  </w:num>
  <w:num w:numId="17" w16cid:durableId="574366267">
    <w:abstractNumId w:val="8"/>
  </w:num>
  <w:num w:numId="18" w16cid:durableId="1456172559">
    <w:abstractNumId w:val="8"/>
    <w:lvlOverride w:ilvl="0">
      <w:lvl w:ilvl="0" w:tplc="ECF2A5A4">
        <w:start w:val="1"/>
        <w:numFmt w:val="upp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D48A586">
        <w:start w:val="1"/>
        <w:numFmt w:val="upperRoman"/>
        <w:lvlText w:val="%2."/>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06431D4">
        <w:start w:val="1"/>
        <w:numFmt w:val="upperRoman"/>
        <w:lvlText w:val="%3."/>
        <w:lvlJc w:val="left"/>
        <w:pPr>
          <w:tabs>
            <w:tab w:val="left" w:pos="220"/>
            <w:tab w:val="left" w:pos="283"/>
            <w:tab w:val="left" w:pos="720"/>
            <w:tab w:val="left" w:pos="1440"/>
            <w:tab w:val="left" w:pos="2880"/>
            <w:tab w:val="left" w:pos="3600"/>
            <w:tab w:val="left" w:pos="4320"/>
            <w:tab w:val="left" w:pos="5040"/>
            <w:tab w:val="left" w:pos="5760"/>
            <w:tab w:val="left" w:pos="6480"/>
            <w:tab w:val="left" w:pos="7200"/>
            <w:tab w:val="left" w:pos="7920"/>
            <w:tab w:val="left" w:pos="8640"/>
          </w:tabs>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2DCCC6E">
        <w:start w:val="1"/>
        <w:numFmt w:val="upperRoman"/>
        <w:lvlText w:val="%4."/>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4CE4F0">
        <w:start w:val="1"/>
        <w:numFmt w:val="upperRoman"/>
        <w:lvlText w:val="%5."/>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EDC08B0">
        <w:start w:val="1"/>
        <w:numFmt w:val="upperRoman"/>
        <w:lvlText w:val="%6."/>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8CA0066">
        <w:start w:val="1"/>
        <w:numFmt w:val="upperRoman"/>
        <w:lvlText w:val="%7."/>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7EC9F3C">
        <w:start w:val="1"/>
        <w:numFmt w:val="upperRoman"/>
        <w:lvlText w:val="%8."/>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920"/>
            <w:tab w:val="left" w:pos="8640"/>
          </w:tabs>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C9AE226">
        <w:start w:val="1"/>
        <w:numFmt w:val="upperRoman"/>
        <w:lvlText w:val="%9."/>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19046346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A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35FA"/>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0014"/>
    <w:rsid w:val="000D2C0B"/>
    <w:rsid w:val="000D72EC"/>
    <w:rsid w:val="000D7FAC"/>
    <w:rsid w:val="000E1503"/>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3B41"/>
    <w:rsid w:val="003C47F5"/>
    <w:rsid w:val="003C7BC1"/>
    <w:rsid w:val="003D5BC2"/>
    <w:rsid w:val="003E333D"/>
    <w:rsid w:val="003E7873"/>
    <w:rsid w:val="003F5FAD"/>
    <w:rsid w:val="00400915"/>
    <w:rsid w:val="00401D38"/>
    <w:rsid w:val="00405760"/>
    <w:rsid w:val="004105A4"/>
    <w:rsid w:val="0041172B"/>
    <w:rsid w:val="004130B8"/>
    <w:rsid w:val="004135A0"/>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652D7"/>
    <w:rsid w:val="00471E48"/>
    <w:rsid w:val="00472AE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D6890"/>
    <w:rsid w:val="005E1E91"/>
    <w:rsid w:val="005E1F1A"/>
    <w:rsid w:val="005F0415"/>
    <w:rsid w:val="005F5C14"/>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E7C58"/>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58C0"/>
    <w:rsid w:val="00A47B49"/>
    <w:rsid w:val="00A50076"/>
    <w:rsid w:val="00A50D9D"/>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27F33"/>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468"/>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569F"/>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5802"/>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215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21EF"/>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aliases w:val="Map Title"/>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aliases w:val=" Car"/>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aliases w:val=" Car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aliases w:val="Map Title Car"/>
    <w:link w:val="Ttulo4"/>
    <w:uiPriority w:val="9"/>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rsid w:val="00511A93"/>
    <w:rPr>
      <w:rFonts w:ascii="Tahoma" w:hAnsi="Tahoma" w:cs="Tahoma"/>
      <w:sz w:val="16"/>
      <w:szCs w:val="16"/>
    </w:rPr>
  </w:style>
  <w:style w:type="paragraph" w:styleId="Mapadeldocumento">
    <w:name w:val="Document Map"/>
    <w:basedOn w:val="Normal"/>
    <w:link w:val="MapadeldocumentoCar"/>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uiPriority w:val="99"/>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uiPriority w:val="99"/>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nhideWhenUsed/>
    <w:rsid w:val="00E5666C"/>
    <w:rPr>
      <w:sz w:val="20"/>
      <w:szCs w:val="20"/>
    </w:rPr>
  </w:style>
  <w:style w:type="character" w:customStyle="1" w:styleId="TextonotaalfinalCar">
    <w:name w:val="Texto nota al final Car"/>
    <w:link w:val="Textonotaalfinal"/>
    <w:rsid w:val="00E5666C"/>
    <w:rPr>
      <w:lang w:eastAsia="en-US"/>
    </w:rPr>
  </w:style>
  <w:style w:type="character" w:styleId="Refdenotaalfinal">
    <w:name w:val="endnote reference"/>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Encabezado Car2"/>
    <w:uiPriority w:val="99"/>
    <w:rsid w:val="00E5666C"/>
    <w:rPr>
      <w:rFonts w:ascii="Calibri" w:eastAsia="Calibri" w:hAnsi="Calibri" w:cs="Times New Roman"/>
    </w:rPr>
  </w:style>
  <w:style w:type="character" w:customStyle="1" w:styleId="PiedepginaCar1">
    <w:name w:val="Pie de página Car1"/>
    <w:aliases w:val="Car1 Car1"/>
    <w:uiPriority w:val="99"/>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rsid w:val="00E5666C"/>
    <w:rPr>
      <w:rFonts w:ascii="Segoe UI" w:eastAsia="Times New Roman" w:hAnsi="Segoe UI" w:cs="Segoe UI"/>
      <w:sz w:val="18"/>
      <w:szCs w:val="18"/>
      <w:lang w:eastAsia="es-ES"/>
    </w:rPr>
  </w:style>
  <w:style w:type="character" w:customStyle="1" w:styleId="TextocomentarioCar1">
    <w:name w:val="Texto comentario Car1"/>
    <w:uiPriority w:val="99"/>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rsid w:val="00E5666C"/>
    <w:rPr>
      <w:rFonts w:ascii="Times New Roman" w:eastAsia="Times New Roman" w:hAnsi="Times New Roman" w:cs="Times New Roman"/>
      <w:sz w:val="24"/>
      <w:szCs w:val="24"/>
      <w:lang w:eastAsia="es-ES"/>
    </w:rPr>
  </w:style>
  <w:style w:type="character" w:customStyle="1" w:styleId="SubttuloCar1">
    <w:name w:val="Subtítulo Car1"/>
    <w:rsid w:val="00E5666C"/>
    <w:rPr>
      <w:rFonts w:eastAsia="Times New Roman"/>
      <w:color w:val="5A5A5A"/>
      <w:spacing w:val="15"/>
      <w:lang w:eastAsia="es-ES"/>
    </w:rPr>
  </w:style>
  <w:style w:type="character" w:customStyle="1" w:styleId="Textoindependiente2Car1">
    <w:name w:val="Texto independiente 2 Car1"/>
    <w:uiPriority w:val="99"/>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rsid w:val="00E5666C"/>
    <w:rPr>
      <w:rFonts w:ascii="Times New Roman" w:eastAsia="Times New Roman" w:hAnsi="Times New Roman" w:cs="Times New Roman"/>
      <w:sz w:val="24"/>
      <w:szCs w:val="24"/>
      <w:lang w:eastAsia="es-ES"/>
    </w:rPr>
  </w:style>
  <w:style w:type="character" w:customStyle="1" w:styleId="TextosinformatoCar1">
    <w:name w:val="Texto sin formato Car1"/>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rsid w:val="00E5666C"/>
  </w:style>
  <w:style w:type="paragraph" w:styleId="Textoindependienteprimerasangra2">
    <w:name w:val="Body Text First Indent 2"/>
    <w:basedOn w:val="Sangradetextonormal"/>
    <w:link w:val="Textoindependienteprimerasangra2Car"/>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rsid w:val="00C974CD"/>
    <w:rPr>
      <w:rFonts w:ascii="Arial" w:eastAsia="Times New Roman" w:hAnsi="Arial" w:cs="Arial"/>
      <w:bCs/>
      <w:szCs w:val="24"/>
      <w:lang w:val="es-ES" w:eastAsia="es-ES"/>
    </w:rPr>
  </w:style>
  <w:style w:type="paragraph" w:styleId="Listaconvietas2">
    <w:name w:val="List Bullet 2"/>
    <w:basedOn w:val="Normal"/>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nhideWhenUsed/>
    <w:rsid w:val="00832B0E"/>
    <w:pPr>
      <w:spacing w:after="100" w:line="259" w:lineRule="auto"/>
    </w:pPr>
  </w:style>
  <w:style w:type="paragraph" w:styleId="TDC2">
    <w:name w:val="toc 2"/>
    <w:basedOn w:val="Normal"/>
    <w:next w:val="Normal"/>
    <w:autoRedefine/>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E85802"/>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E85802"/>
    <w:rPr>
      <w:rFonts w:asciiTheme="majorHAnsi" w:eastAsiaTheme="majorEastAsia" w:hAnsiTheme="majorHAnsi" w:cstheme="majorBidi"/>
      <w:spacing w:val="-10"/>
      <w:kern w:val="28"/>
      <w:sz w:val="56"/>
      <w:szCs w:val="56"/>
      <w:lang w:eastAsia="en-US"/>
    </w:rPr>
  </w:style>
  <w:style w:type="paragraph" w:customStyle="1" w:styleId="a">
    <w:qFormat/>
    <w:rsid w:val="00E85802"/>
    <w:pPr>
      <w:spacing w:after="200" w:line="276" w:lineRule="auto"/>
    </w:pPr>
    <w:rPr>
      <w:sz w:val="22"/>
      <w:szCs w:val="22"/>
      <w:lang w:eastAsia="en-US"/>
    </w:rPr>
  </w:style>
  <w:style w:type="numbering" w:customStyle="1" w:styleId="Sinlista31">
    <w:name w:val="Sin lista31"/>
    <w:next w:val="Sinlista"/>
    <w:semiHidden/>
    <w:unhideWhenUsed/>
    <w:rsid w:val="00E85802"/>
  </w:style>
  <w:style w:type="numbering" w:customStyle="1" w:styleId="Sinlista41">
    <w:name w:val="Sin lista41"/>
    <w:next w:val="Sinlista"/>
    <w:semiHidden/>
    <w:unhideWhenUsed/>
    <w:rsid w:val="00E85802"/>
  </w:style>
  <w:style w:type="paragraph" w:customStyle="1" w:styleId="titulotxt">
    <w:name w:val="titulo_txt"/>
    <w:basedOn w:val="Normal"/>
    <w:rsid w:val="00E85802"/>
    <w:pPr>
      <w:spacing w:before="100" w:beforeAutospacing="1" w:after="100" w:afterAutospacing="1" w:line="240" w:lineRule="auto"/>
    </w:pPr>
    <w:rPr>
      <w:rFonts w:ascii="Verdana" w:eastAsia="Times New Roman" w:hAnsi="Verdana"/>
      <w:color w:val="1C8D8B"/>
      <w:sz w:val="20"/>
      <w:szCs w:val="20"/>
      <w:lang w:val="es-ES" w:eastAsia="es-ES"/>
    </w:rPr>
  </w:style>
  <w:style w:type="paragraph" w:customStyle="1" w:styleId="CarCar1CharChar">
    <w:name w:val="Car Car1 Char Char"/>
    <w:basedOn w:val="Normal"/>
    <w:rsid w:val="00E85802"/>
    <w:pPr>
      <w:spacing w:after="160" w:line="240" w:lineRule="exact"/>
    </w:pPr>
    <w:rPr>
      <w:rFonts w:ascii="Verdana" w:eastAsia="Times New Roman" w:hAnsi="Verdana"/>
      <w:sz w:val="20"/>
      <w:szCs w:val="20"/>
      <w:lang w:val="en-US"/>
    </w:rPr>
  </w:style>
  <w:style w:type="paragraph" w:customStyle="1" w:styleId="Ttulo210">
    <w:name w:val="Título 21"/>
    <w:basedOn w:val="Normal"/>
    <w:uiPriority w:val="1"/>
    <w:qFormat/>
    <w:rsid w:val="00E85802"/>
    <w:pPr>
      <w:widowControl w:val="0"/>
      <w:spacing w:after="0" w:line="240" w:lineRule="auto"/>
      <w:ind w:left="820"/>
      <w:outlineLvl w:val="2"/>
    </w:pPr>
    <w:rPr>
      <w:sz w:val="18"/>
      <w:szCs w:val="18"/>
      <w:lang w:val="es-ES_tradnl"/>
    </w:rPr>
  </w:style>
  <w:style w:type="character" w:customStyle="1" w:styleId="corchete-llamada1">
    <w:name w:val="corchete-llamada1"/>
    <w:rsid w:val="00E85802"/>
    <w:rPr>
      <w:vanish/>
      <w:webHidden w:val="0"/>
      <w:specVanish w:val="0"/>
    </w:rPr>
  </w:style>
  <w:style w:type="character" w:customStyle="1" w:styleId="TitHFCar">
    <w:name w:val="Tit HF Car"/>
    <w:link w:val="TitHF"/>
    <w:locked/>
    <w:rsid w:val="00E85802"/>
    <w:rPr>
      <w:rFonts w:ascii="Arial" w:eastAsia="Times New Roman" w:hAnsi="Arial" w:cs="Arial"/>
    </w:rPr>
  </w:style>
  <w:style w:type="paragraph" w:customStyle="1" w:styleId="TitHF">
    <w:name w:val="Tit HF"/>
    <w:basedOn w:val="Normal"/>
    <w:link w:val="TitHFCar"/>
    <w:qFormat/>
    <w:rsid w:val="00E85802"/>
    <w:pPr>
      <w:widowControl w:val="0"/>
      <w:autoSpaceDE w:val="0"/>
      <w:autoSpaceDN w:val="0"/>
      <w:adjustRightInd w:val="0"/>
      <w:spacing w:after="0" w:line="240" w:lineRule="auto"/>
      <w:ind w:right="-20"/>
      <w:jc w:val="both"/>
    </w:pPr>
    <w:rPr>
      <w:rFonts w:ascii="Arial" w:eastAsia="Times New Roman" w:hAnsi="Arial" w:cs="Arial"/>
      <w:sz w:val="20"/>
      <w:szCs w:val="20"/>
      <w:lang w:eastAsia="es-MX"/>
    </w:rPr>
  </w:style>
  <w:style w:type="paragraph" w:customStyle="1" w:styleId="Pa0">
    <w:name w:val="Pa0"/>
    <w:basedOn w:val="Default"/>
    <w:next w:val="Default"/>
    <w:rsid w:val="00E85802"/>
    <w:pPr>
      <w:spacing w:line="241" w:lineRule="atLeast"/>
    </w:pPr>
    <w:rPr>
      <w:rFonts w:ascii="Amplitude-Bold" w:hAnsi="Amplitude-Bold"/>
      <w:color w:val="auto"/>
    </w:rPr>
  </w:style>
  <w:style w:type="character" w:customStyle="1" w:styleId="A27">
    <w:name w:val="A27"/>
    <w:uiPriority w:val="99"/>
    <w:rsid w:val="00E85802"/>
    <w:rPr>
      <w:rFonts w:ascii="Amplitude-Light" w:hAnsi="Amplitude-Light" w:cs="Amplitude-Light" w:hint="default"/>
      <w:color w:val="221E1F"/>
      <w:sz w:val="20"/>
      <w:szCs w:val="20"/>
    </w:rPr>
  </w:style>
  <w:style w:type="character" w:customStyle="1" w:styleId="A5">
    <w:name w:val="A5"/>
    <w:uiPriority w:val="99"/>
    <w:rsid w:val="00E85802"/>
    <w:rPr>
      <w:rFonts w:ascii="Amplitude-Light" w:hAnsi="Amplitude-Light" w:cs="Amplitude-Light" w:hint="default"/>
      <w:color w:val="626365"/>
      <w:sz w:val="28"/>
      <w:szCs w:val="28"/>
    </w:rPr>
  </w:style>
  <w:style w:type="character" w:customStyle="1" w:styleId="A28">
    <w:name w:val="A28"/>
    <w:uiPriority w:val="99"/>
    <w:rsid w:val="00E85802"/>
    <w:rPr>
      <w:rFonts w:ascii="Amplitude-Light" w:hAnsi="Amplitude-Light" w:cs="Amplitude-Light" w:hint="default"/>
      <w:color w:val="FFFFFF"/>
      <w:sz w:val="26"/>
      <w:szCs w:val="26"/>
    </w:rPr>
  </w:style>
  <w:style w:type="character" w:customStyle="1" w:styleId="a1">
    <w:name w:val="a"/>
    <w:rsid w:val="00E85802"/>
  </w:style>
  <w:style w:type="paragraph" w:customStyle="1" w:styleId="ttulo30">
    <w:name w:val="ttulo3"/>
    <w:basedOn w:val="Normal"/>
    <w:rsid w:val="00E85802"/>
    <w:pPr>
      <w:spacing w:before="100" w:beforeAutospacing="1" w:after="100" w:afterAutospacing="1" w:line="240" w:lineRule="auto"/>
    </w:pPr>
    <w:rPr>
      <w:rFonts w:ascii="Times New Roman" w:eastAsia="Times New Roman" w:hAnsi="Times New Roman"/>
      <w:sz w:val="24"/>
      <w:szCs w:val="24"/>
      <w:lang w:eastAsia="es-ES"/>
    </w:rPr>
  </w:style>
  <w:style w:type="paragraph" w:styleId="HTMLconformatoprevio">
    <w:name w:val="HTML Preformatted"/>
    <w:basedOn w:val="Normal"/>
    <w:link w:val="HTMLconformatoprevioCar"/>
    <w:rsid w:val="00E85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val="es-ES" w:eastAsia="es-ES"/>
    </w:rPr>
  </w:style>
  <w:style w:type="character" w:customStyle="1" w:styleId="HTMLconformatoprevioCar">
    <w:name w:val="HTML con formato previo Car"/>
    <w:basedOn w:val="Fuentedeprrafopredeter"/>
    <w:link w:val="HTMLconformatoprevio"/>
    <w:rsid w:val="00E85802"/>
    <w:rPr>
      <w:rFonts w:ascii="Courier New" w:eastAsia="Times New Roman" w:hAnsi="Courier New" w:cs="Courier New"/>
      <w:sz w:val="24"/>
      <w:szCs w:val="24"/>
      <w:lang w:val="es-ES" w:eastAsia="es-ES"/>
    </w:rPr>
  </w:style>
  <w:style w:type="character" w:customStyle="1" w:styleId="hl1">
    <w:name w:val="hl1"/>
    <w:rsid w:val="00E85802"/>
    <w:rPr>
      <w:color w:val="000000"/>
      <w:shd w:val="clear" w:color="auto" w:fill="FFFF88"/>
    </w:rPr>
  </w:style>
  <w:style w:type="paragraph" w:customStyle="1" w:styleId="contenido">
    <w:name w:val="contenido"/>
    <w:basedOn w:val="Normal"/>
    <w:rsid w:val="00E85802"/>
    <w:pPr>
      <w:spacing w:before="100" w:beforeAutospacing="1" w:after="100" w:afterAutospacing="1" w:line="240" w:lineRule="auto"/>
    </w:pPr>
    <w:rPr>
      <w:rFonts w:ascii="Arial" w:eastAsia="Times New Roman" w:hAnsi="Arial" w:cs="Arial"/>
      <w:color w:val="000000"/>
      <w:sz w:val="12"/>
      <w:szCs w:val="12"/>
      <w:lang w:val="es-ES" w:eastAsia="es-ES"/>
    </w:rPr>
  </w:style>
  <w:style w:type="paragraph" w:customStyle="1" w:styleId="spdesc">
    <w:name w:val="spdesc"/>
    <w:basedOn w:val="Normal"/>
    <w:rsid w:val="00E85802"/>
    <w:pPr>
      <w:spacing w:before="60" w:after="100" w:afterAutospacing="1" w:line="240" w:lineRule="auto"/>
    </w:pPr>
    <w:rPr>
      <w:rFonts w:ascii="Georgia" w:eastAsia="Times New Roman" w:hAnsi="Georgia"/>
      <w:sz w:val="24"/>
      <w:szCs w:val="24"/>
      <w:lang w:val="es-ES" w:eastAsia="es-ES"/>
    </w:rPr>
  </w:style>
  <w:style w:type="character" w:customStyle="1" w:styleId="postbody">
    <w:name w:val="postbody"/>
    <w:rsid w:val="00E85802"/>
  </w:style>
  <w:style w:type="character" w:customStyle="1" w:styleId="ficha121">
    <w:name w:val="ficha121"/>
    <w:rsid w:val="00E85802"/>
    <w:rPr>
      <w:rFonts w:ascii="Verdana" w:hAnsi="Verdana" w:hint="default"/>
      <w:b w:val="0"/>
      <w:bCs w:val="0"/>
      <w:i w:val="0"/>
      <w:iCs w:val="0"/>
      <w:color w:val="000000"/>
      <w:sz w:val="18"/>
      <w:szCs w:val="18"/>
    </w:rPr>
  </w:style>
  <w:style w:type="paragraph" w:customStyle="1" w:styleId="parrafo1">
    <w:name w:val="parrafo1"/>
    <w:basedOn w:val="Normal"/>
    <w:rsid w:val="00E85802"/>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titulo4">
    <w:name w:val="titulo4"/>
    <w:basedOn w:val="Normal"/>
    <w:rsid w:val="00E85802"/>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parrafo2">
    <w:name w:val="parrafo2"/>
    <w:basedOn w:val="Normal"/>
    <w:rsid w:val="00E85802"/>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1">
    <w:name w:val="1"/>
    <w:basedOn w:val="Normal"/>
    <w:rsid w:val="00E85802"/>
    <w:pPr>
      <w:spacing w:before="100" w:beforeAutospacing="1" w:after="100" w:afterAutospacing="1" w:line="240" w:lineRule="auto"/>
    </w:pPr>
    <w:rPr>
      <w:rFonts w:ascii="Times New Roman" w:eastAsia="Times New Roman" w:hAnsi="Times New Roman"/>
      <w:sz w:val="24"/>
      <w:szCs w:val="24"/>
      <w:lang w:eastAsia="es-ES"/>
    </w:rPr>
  </w:style>
  <w:style w:type="paragraph" w:customStyle="1" w:styleId="Parrafo10">
    <w:name w:val="Parrafo1"/>
    <w:basedOn w:val="Normal"/>
    <w:next w:val="Normal"/>
    <w:rsid w:val="00E85802"/>
    <w:pPr>
      <w:spacing w:after="160" w:line="240" w:lineRule="auto"/>
      <w:jc w:val="both"/>
    </w:pPr>
    <w:rPr>
      <w:rFonts w:ascii="Tahoma" w:eastAsia="Times New Roman" w:hAnsi="Tahoma"/>
      <w:szCs w:val="20"/>
      <w:lang w:val="es-ES_tradnl" w:eastAsia="es-ES"/>
    </w:rPr>
  </w:style>
  <w:style w:type="paragraph" w:styleId="z-Finaldelformulario">
    <w:name w:val="HTML Bottom of Form"/>
    <w:basedOn w:val="Normal"/>
    <w:next w:val="Normal"/>
    <w:link w:val="z-FinaldelformularioCar"/>
    <w:hidden/>
    <w:rsid w:val="00E85802"/>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rsid w:val="00E85802"/>
    <w:rPr>
      <w:rFonts w:ascii="Arial" w:eastAsia="Times New Roman" w:hAnsi="Arial" w:cs="Arial"/>
      <w:vanish/>
      <w:sz w:val="16"/>
      <w:szCs w:val="16"/>
    </w:rPr>
  </w:style>
  <w:style w:type="paragraph" w:customStyle="1" w:styleId="2">
    <w:name w:val="2"/>
    <w:basedOn w:val="Normal"/>
    <w:next w:val="Normal"/>
    <w:qFormat/>
    <w:rsid w:val="00E85802"/>
    <w:pPr>
      <w:spacing w:before="120" w:after="120" w:line="240" w:lineRule="auto"/>
    </w:pPr>
    <w:rPr>
      <w:rFonts w:ascii="Times New Roman" w:eastAsia="Times New Roman" w:hAnsi="Times New Roman"/>
      <w:b/>
      <w:bCs/>
      <w:sz w:val="20"/>
      <w:szCs w:val="20"/>
      <w:lang w:val="es-ES" w:eastAsia="es-ES"/>
    </w:rPr>
  </w:style>
  <w:style w:type="paragraph" w:customStyle="1" w:styleId="estilo2estilo5">
    <w:name w:val="estilo2 estilo5"/>
    <w:basedOn w:val="Normal"/>
    <w:rsid w:val="00E85802"/>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FontStyle19">
    <w:name w:val="Font Style19"/>
    <w:uiPriority w:val="99"/>
    <w:rsid w:val="00E85802"/>
    <w:rPr>
      <w:rFonts w:ascii="Arial" w:hAnsi="Arial" w:cs="Arial"/>
      <w:spacing w:val="-10"/>
      <w:sz w:val="40"/>
      <w:szCs w:val="40"/>
    </w:rPr>
  </w:style>
  <w:style w:type="character" w:customStyle="1" w:styleId="citation">
    <w:name w:val="citation"/>
    <w:rsid w:val="00E85802"/>
  </w:style>
  <w:style w:type="character" w:customStyle="1" w:styleId="reference-accessdate">
    <w:name w:val="reference-accessdate"/>
    <w:rsid w:val="00E85802"/>
  </w:style>
  <w:style w:type="paragraph" w:customStyle="1" w:styleId="sangria0">
    <w:name w:val="sangria"/>
    <w:basedOn w:val="Normal"/>
    <w:rsid w:val="00E8580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181">
    <w:name w:val="Tabla con cuadrícula181"/>
    <w:basedOn w:val="Tablanormal"/>
    <w:next w:val="Tablaconcuadrcula"/>
    <w:uiPriority w:val="39"/>
    <w:rsid w:val="00E8580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21">
    <w:name w:val="Lista 21"/>
    <w:basedOn w:val="Normal"/>
    <w:next w:val="Lista2"/>
    <w:unhideWhenUsed/>
    <w:rsid w:val="00E85802"/>
    <w:pPr>
      <w:ind w:left="566" w:hanging="283"/>
      <w:contextualSpacing/>
    </w:pPr>
  </w:style>
  <w:style w:type="paragraph" w:customStyle="1" w:styleId="Listaconvietas1">
    <w:name w:val="Lista con viñetas1"/>
    <w:basedOn w:val="Normal"/>
    <w:next w:val="Listaconvietas"/>
    <w:unhideWhenUsed/>
    <w:rsid w:val="00E85802"/>
    <w:pPr>
      <w:numPr>
        <w:numId w:val="10"/>
      </w:numPr>
      <w:tabs>
        <w:tab w:val="clear" w:pos="360"/>
      </w:tabs>
      <w:ind w:left="0" w:firstLine="0"/>
      <w:contextualSpacing/>
    </w:pPr>
  </w:style>
  <w:style w:type="character" w:customStyle="1" w:styleId="TextonotapieCar1">
    <w:name w:val="Texto nota pie Car1"/>
    <w:uiPriority w:val="99"/>
    <w:rsid w:val="00E85802"/>
    <w:rPr>
      <w:rFonts w:ascii="Arial" w:eastAsia="Times New Roman" w:hAnsi="Arial" w:cs="Arial"/>
      <w:bCs/>
      <w:sz w:val="20"/>
      <w:szCs w:val="20"/>
      <w:lang w:val="es-ES" w:eastAsia="es-ES"/>
    </w:rPr>
  </w:style>
  <w:style w:type="paragraph" w:customStyle="1" w:styleId="DefaultStyle">
    <w:name w:val="Default Style"/>
    <w:rsid w:val="00E85802"/>
    <w:pPr>
      <w:suppressAutoHyphens/>
      <w:overflowPunct w:val="0"/>
      <w:spacing w:line="100" w:lineRule="atLeast"/>
    </w:pPr>
    <w:rPr>
      <w:rFonts w:ascii="Tahoma" w:eastAsia="Times New Roman" w:hAnsi="Tahoma" w:cs="Tahoma"/>
      <w:color w:val="000000"/>
      <w:sz w:val="24"/>
      <w:szCs w:val="24"/>
    </w:rPr>
  </w:style>
  <w:style w:type="character" w:customStyle="1" w:styleId="CarCar5">
    <w:name w:val="Car Car5"/>
    <w:rsid w:val="00E85802"/>
    <w:rPr>
      <w:b/>
      <w:sz w:val="24"/>
      <w:szCs w:val="24"/>
      <w:lang w:val="es-ES" w:eastAsia="es-ES" w:bidi="ar-SA"/>
    </w:rPr>
  </w:style>
  <w:style w:type="character" w:customStyle="1" w:styleId="StrongEmphasis">
    <w:name w:val="Strong Emphasis"/>
    <w:rsid w:val="00E85802"/>
    <w:rPr>
      <w:b/>
      <w:bCs/>
    </w:rPr>
  </w:style>
  <w:style w:type="character" w:customStyle="1" w:styleId="InternetLink">
    <w:name w:val="Internet Link"/>
    <w:rsid w:val="00E85802"/>
    <w:rPr>
      <w:color w:val="0000FF"/>
      <w:u w:val="single"/>
    </w:rPr>
  </w:style>
  <w:style w:type="character" w:customStyle="1" w:styleId="corte4fondoCarCarCarCarCar">
    <w:name w:val="corte4 fondo Car Car Car Car Car"/>
    <w:rsid w:val="00E85802"/>
    <w:rPr>
      <w:rFonts w:ascii="Arial" w:hAnsi="Arial"/>
      <w:sz w:val="30"/>
      <w:szCs w:val="24"/>
    </w:rPr>
  </w:style>
  <w:style w:type="character" w:customStyle="1" w:styleId="corte5transcripcionCarCarCarCar">
    <w:name w:val="corte5 transcripcion Car Car Car Car"/>
    <w:rsid w:val="00E85802"/>
    <w:rPr>
      <w:rFonts w:ascii="Arial" w:eastAsia="Times New Roman" w:hAnsi="Arial" w:cs="Times New Roman"/>
      <w:b/>
      <w:i/>
      <w:sz w:val="30"/>
      <w:szCs w:val="30"/>
      <w:lang w:val="en-US" w:eastAsia="en-US"/>
    </w:rPr>
  </w:style>
  <w:style w:type="character" w:customStyle="1" w:styleId="estilo131">
    <w:name w:val="estilo131"/>
    <w:rsid w:val="00E85802"/>
    <w:rPr>
      <w:sz w:val="16"/>
      <w:szCs w:val="16"/>
    </w:rPr>
  </w:style>
  <w:style w:type="character" w:customStyle="1" w:styleId="style351">
    <w:name w:val="style351"/>
    <w:rsid w:val="00E85802"/>
    <w:rPr>
      <w:rFonts w:ascii="Arial" w:hAnsi="Arial" w:cs="Arial"/>
      <w:color w:val="333333"/>
      <w:sz w:val="20"/>
      <w:szCs w:val="20"/>
    </w:rPr>
  </w:style>
  <w:style w:type="character" w:customStyle="1" w:styleId="corte5transcripcionCar1">
    <w:name w:val="corte5 transcripcion Car1"/>
    <w:rsid w:val="00E85802"/>
    <w:rPr>
      <w:rFonts w:ascii="Arial" w:hAnsi="Arial"/>
      <w:b/>
      <w:i/>
      <w:sz w:val="30"/>
      <w:lang w:val="en-US" w:eastAsia="es-ES" w:bidi="ar-SA"/>
    </w:rPr>
  </w:style>
  <w:style w:type="character" w:customStyle="1" w:styleId="corte4fondoCarCar2">
    <w:name w:val="corte4 fondo Car Car2"/>
    <w:rsid w:val="00E85802"/>
    <w:rPr>
      <w:rFonts w:ascii="Arial" w:hAnsi="Arial" w:cs="Arial"/>
      <w:sz w:val="30"/>
      <w:szCs w:val="30"/>
      <w:lang w:val="en-US" w:eastAsia="es-MX" w:bidi="ar-SA"/>
    </w:rPr>
  </w:style>
  <w:style w:type="character" w:customStyle="1" w:styleId="corte4fondoCarCarCar">
    <w:name w:val="corte4 fondo Car Car Car"/>
    <w:rsid w:val="00E85802"/>
    <w:rPr>
      <w:rFonts w:ascii="Arial" w:hAnsi="Arial" w:cs="Arial"/>
      <w:sz w:val="30"/>
      <w:szCs w:val="30"/>
      <w:lang w:val="en-US" w:eastAsia="es-ES" w:bidi="ar-SA"/>
    </w:rPr>
  </w:style>
  <w:style w:type="character" w:customStyle="1" w:styleId="finalsituacion1">
    <w:name w:val="final_situacion1"/>
    <w:rsid w:val="00E85802"/>
    <w:rPr>
      <w:rFonts w:ascii="Verdana" w:hAnsi="Verdana"/>
      <w:b/>
      <w:bCs/>
      <w:color w:val="D8027E"/>
      <w:sz w:val="20"/>
      <w:szCs w:val="20"/>
    </w:rPr>
  </w:style>
  <w:style w:type="character" w:customStyle="1" w:styleId="Sangra3detindependienteCar1">
    <w:name w:val="Sangría 3 de t. independiente Car1"/>
    <w:uiPriority w:val="99"/>
    <w:rsid w:val="00E85802"/>
    <w:rPr>
      <w:rFonts w:ascii="Calibri" w:eastAsia="Calibri" w:hAnsi="Calibri" w:cs="Times New Roman"/>
      <w:sz w:val="16"/>
      <w:szCs w:val="16"/>
      <w:lang w:val="en-US"/>
    </w:rPr>
  </w:style>
  <w:style w:type="character" w:customStyle="1" w:styleId="encabezadoCarCar1">
    <w:name w:val="encabezado Car Car1"/>
    <w:rsid w:val="00E85802"/>
    <w:rPr>
      <w:rFonts w:ascii="Arial" w:hAnsi="Arial" w:cs="Arial"/>
      <w:bCs/>
      <w:sz w:val="24"/>
      <w:szCs w:val="24"/>
      <w:lang w:val="es-ES" w:eastAsia="es-ES" w:bidi="ar-SA"/>
    </w:rPr>
  </w:style>
  <w:style w:type="character" w:customStyle="1" w:styleId="caps1">
    <w:name w:val="caps1"/>
    <w:rsid w:val="00E85802"/>
    <w:rPr>
      <w:sz w:val="22"/>
      <w:szCs w:val="22"/>
    </w:rPr>
  </w:style>
  <w:style w:type="character" w:customStyle="1" w:styleId="CarCar4">
    <w:name w:val="Car Car4"/>
    <w:rsid w:val="00E85802"/>
    <w:rPr>
      <w:rFonts w:ascii="Arial" w:hAnsi="Arial" w:cs="Arial"/>
      <w:sz w:val="22"/>
      <w:szCs w:val="22"/>
      <w:lang w:eastAsia="es-ES"/>
    </w:rPr>
  </w:style>
  <w:style w:type="character" w:customStyle="1" w:styleId="CarCar6">
    <w:name w:val="Car Car6"/>
    <w:rsid w:val="00E85802"/>
    <w:rPr>
      <w:b/>
      <w:sz w:val="24"/>
      <w:szCs w:val="24"/>
      <w:lang w:val="es-ES" w:eastAsia="es-ES" w:bidi="ar-SA"/>
    </w:rPr>
  </w:style>
  <w:style w:type="character" w:customStyle="1" w:styleId="CarCar2">
    <w:name w:val="Car Car2"/>
    <w:rsid w:val="00E85802"/>
    <w:rPr>
      <w:rFonts w:ascii="Arial" w:hAnsi="Arial" w:cs="Arial"/>
      <w:b/>
      <w:bCs/>
      <w:i/>
      <w:iCs/>
      <w:sz w:val="26"/>
      <w:szCs w:val="26"/>
      <w:lang w:val="es-ES" w:eastAsia="es-ES" w:bidi="ar-SA"/>
    </w:rPr>
  </w:style>
  <w:style w:type="character" w:customStyle="1" w:styleId="CarCar1">
    <w:name w:val="Car Car1"/>
    <w:rsid w:val="00E85802"/>
    <w:rPr>
      <w:rFonts w:ascii="Arial" w:hAnsi="Arial" w:cs="Arial"/>
      <w:bCs/>
      <w:sz w:val="24"/>
      <w:szCs w:val="24"/>
      <w:lang w:val="es-ES" w:eastAsia="es-ES" w:bidi="ar-SA"/>
    </w:rPr>
  </w:style>
  <w:style w:type="character" w:customStyle="1" w:styleId="CarCar3">
    <w:name w:val="Car Car3"/>
    <w:rsid w:val="00E85802"/>
    <w:rPr>
      <w:rFonts w:ascii="Arial" w:hAnsi="Arial" w:cs="Arial"/>
      <w:bCs/>
      <w:sz w:val="24"/>
      <w:szCs w:val="24"/>
      <w:lang w:val="es-ES" w:eastAsia="es-ES" w:bidi="ar-SA"/>
    </w:rPr>
  </w:style>
  <w:style w:type="character" w:customStyle="1" w:styleId="CarCar7">
    <w:name w:val="Car Car7"/>
    <w:rsid w:val="00E85802"/>
    <w:rPr>
      <w:rFonts w:ascii="Arial" w:hAnsi="Arial" w:cs="Arial"/>
      <w:bCs/>
      <w:sz w:val="24"/>
      <w:szCs w:val="24"/>
      <w:lang w:val="es-ES" w:eastAsia="es-ES"/>
    </w:rPr>
  </w:style>
  <w:style w:type="character" w:styleId="MquinadeescribirHTML">
    <w:name w:val="HTML Typewriter"/>
    <w:rsid w:val="00E85802"/>
    <w:rPr>
      <w:rFonts w:ascii="Courier New" w:eastAsia="Times New Roman" w:hAnsi="Courier New" w:cs="Courier New"/>
      <w:sz w:val="20"/>
      <w:szCs w:val="20"/>
    </w:rPr>
  </w:style>
  <w:style w:type="character" w:customStyle="1" w:styleId="CarCar20">
    <w:name w:val="Car Car20"/>
    <w:rsid w:val="00E85802"/>
    <w:rPr>
      <w:rFonts w:ascii="Arial" w:hAnsi="Arial" w:cs="Arial"/>
      <w:b/>
      <w:bCs/>
      <w:sz w:val="32"/>
      <w:szCs w:val="32"/>
      <w:lang w:eastAsia="es-ES"/>
    </w:rPr>
  </w:style>
  <w:style w:type="character" w:customStyle="1" w:styleId="CarCar19">
    <w:name w:val="Car Car19"/>
    <w:rsid w:val="00E85802"/>
    <w:rPr>
      <w:rFonts w:ascii="Arial" w:hAnsi="Arial"/>
      <w:b/>
      <w:sz w:val="18"/>
      <w:lang w:val="es-ES" w:eastAsia="es-ES"/>
    </w:rPr>
  </w:style>
  <w:style w:type="character" w:customStyle="1" w:styleId="CarCar16">
    <w:name w:val="Car Car16"/>
    <w:rsid w:val="00E85802"/>
    <w:rPr>
      <w:rFonts w:ascii="Arial" w:hAnsi="Arial" w:cs="Arial"/>
      <w:b/>
      <w:bCs/>
      <w:i/>
      <w:iCs/>
      <w:sz w:val="26"/>
      <w:szCs w:val="26"/>
      <w:lang w:val="es-ES" w:eastAsia="es-ES" w:bidi="ar-SA"/>
    </w:rPr>
  </w:style>
  <w:style w:type="character" w:customStyle="1" w:styleId="CarCar9">
    <w:name w:val="Car Car9"/>
    <w:rsid w:val="00E85802"/>
    <w:rPr>
      <w:sz w:val="24"/>
      <w:szCs w:val="24"/>
      <w:lang w:val="es-ES" w:eastAsia="es-ES"/>
    </w:rPr>
  </w:style>
  <w:style w:type="character" w:customStyle="1" w:styleId="MapTitleCarCar">
    <w:name w:val="Map Title Car Car"/>
    <w:rsid w:val="00E85802"/>
    <w:rPr>
      <w:rFonts w:ascii="Arial" w:hAnsi="Arial" w:cs="Arial"/>
      <w:b/>
      <w:bCs/>
      <w:sz w:val="24"/>
      <w:szCs w:val="24"/>
      <w:u w:val="single"/>
      <w:lang w:val="es-MX" w:eastAsia="es-ES" w:bidi="ar-SA"/>
    </w:rPr>
  </w:style>
  <w:style w:type="character" w:customStyle="1" w:styleId="TextonotaalfinalCar1">
    <w:name w:val="Texto nota al final Car1"/>
    <w:rsid w:val="00E85802"/>
    <w:rPr>
      <w:rFonts w:ascii="Calibri" w:eastAsia="Calibri" w:hAnsi="Calibri" w:cs="Times New Roman"/>
      <w:sz w:val="20"/>
      <w:szCs w:val="20"/>
      <w:lang w:val="en-US"/>
    </w:rPr>
  </w:style>
  <w:style w:type="character" w:customStyle="1" w:styleId="SaludoCar1">
    <w:name w:val="Saludo Car1"/>
    <w:rsid w:val="00E85802"/>
    <w:rPr>
      <w:rFonts w:ascii="Calibri" w:eastAsia="Calibri" w:hAnsi="Calibri" w:cs="Times New Roman"/>
      <w:lang w:val="en-US"/>
    </w:rPr>
  </w:style>
  <w:style w:type="character" w:customStyle="1" w:styleId="Cuadrculamedia2Car">
    <w:name w:val="Cuadrícula media 2 Car"/>
    <w:link w:val="Cuadrculamedia22"/>
    <w:rsid w:val="00E85802"/>
  </w:style>
  <w:style w:type="character" w:customStyle="1" w:styleId="CarCar10">
    <w:name w:val="Car Car10"/>
    <w:rsid w:val="00E85802"/>
    <w:rPr>
      <w:rFonts w:ascii="Arial" w:hAnsi="Arial" w:cs="Arial"/>
      <w:b/>
      <w:bCs/>
      <w:sz w:val="24"/>
      <w:szCs w:val="24"/>
      <w:lang w:eastAsia="es-ES"/>
    </w:rPr>
  </w:style>
  <w:style w:type="character" w:customStyle="1" w:styleId="CarCar8">
    <w:name w:val="Car Car8"/>
    <w:rsid w:val="00E85802"/>
    <w:rPr>
      <w:rFonts w:ascii="Calibri" w:eastAsia="Times New Roman" w:hAnsi="Calibri" w:cs="Times New Roman"/>
    </w:rPr>
  </w:style>
  <w:style w:type="character" w:customStyle="1" w:styleId="CarCar11">
    <w:name w:val="Car Car11"/>
    <w:rsid w:val="00E85802"/>
    <w:rPr>
      <w:rFonts w:ascii="Arial" w:eastAsia="Times New Roman" w:hAnsi="Arial" w:cs="Arial"/>
      <w:b/>
      <w:bCs/>
      <w:sz w:val="16"/>
      <w:szCs w:val="24"/>
      <w:lang w:val="es-ES" w:eastAsia="es-ES"/>
    </w:rPr>
  </w:style>
  <w:style w:type="character" w:styleId="nfasisintenso">
    <w:name w:val="Intense Emphasis"/>
    <w:uiPriority w:val="21"/>
    <w:qFormat/>
    <w:rsid w:val="00E85802"/>
    <w:rPr>
      <w:b/>
      <w:bCs/>
      <w:i/>
      <w:iCs/>
      <w:color w:val="4F81BD"/>
    </w:rPr>
  </w:style>
  <w:style w:type="character" w:customStyle="1" w:styleId="CitaCar">
    <w:name w:val="Cita Car"/>
    <w:uiPriority w:val="29"/>
    <w:rsid w:val="00E85802"/>
    <w:rPr>
      <w:rFonts w:ascii="Century Gothic" w:eastAsia="Lucida Sans Unicode" w:hAnsi="Century Gothic" w:cs="Times New Roman"/>
      <w:color w:val="AA0042"/>
      <w:sz w:val="20"/>
      <w:szCs w:val="20"/>
      <w:lang w:val="en-US" w:eastAsia="en-US" w:bidi="en-US"/>
    </w:rPr>
  </w:style>
  <w:style w:type="character" w:styleId="nfasissutil">
    <w:name w:val="Subtle Emphasis"/>
    <w:uiPriority w:val="19"/>
    <w:qFormat/>
    <w:rsid w:val="00E85802"/>
    <w:rPr>
      <w:rFonts w:ascii="Lucida Sans Unicode" w:eastAsia="Times New Roman" w:hAnsi="Lucida Sans Unicode" w:cs="Times New Roman"/>
      <w:i/>
      <w:iCs/>
      <w:color w:val="E40059"/>
    </w:rPr>
  </w:style>
  <w:style w:type="character" w:styleId="Referenciasutil">
    <w:name w:val="Subtle Reference"/>
    <w:uiPriority w:val="31"/>
    <w:qFormat/>
    <w:rsid w:val="00E85802"/>
    <w:rPr>
      <w:i/>
      <w:iCs/>
      <w:smallCaps/>
      <w:color w:val="E40059"/>
      <w:u w:val="none"/>
    </w:rPr>
  </w:style>
  <w:style w:type="character" w:styleId="Referenciaintensa">
    <w:name w:val="Intense Reference"/>
    <w:uiPriority w:val="32"/>
    <w:qFormat/>
    <w:rsid w:val="00E85802"/>
    <w:rPr>
      <w:b/>
      <w:bCs/>
      <w:i/>
      <w:iCs/>
      <w:smallCaps/>
      <w:color w:val="E40059"/>
      <w:u w:val="none"/>
    </w:rPr>
  </w:style>
  <w:style w:type="character" w:customStyle="1" w:styleId="ListLabel1">
    <w:name w:val="ListLabel 1"/>
    <w:rsid w:val="00E85802"/>
    <w:rPr>
      <w:b w:val="0"/>
    </w:rPr>
  </w:style>
  <w:style w:type="character" w:customStyle="1" w:styleId="ListLabel2">
    <w:name w:val="ListLabel 2"/>
    <w:rsid w:val="00E85802"/>
    <w:rPr>
      <w:rFonts w:cs="Times New Roman"/>
    </w:rPr>
  </w:style>
  <w:style w:type="character" w:customStyle="1" w:styleId="ListLabel3">
    <w:name w:val="ListLabel 3"/>
    <w:rsid w:val="00E85802"/>
    <w:rPr>
      <w:rFonts w:cs="Courier New"/>
    </w:rPr>
  </w:style>
  <w:style w:type="character" w:customStyle="1" w:styleId="ListLabel4">
    <w:name w:val="ListLabel 4"/>
    <w:rsid w:val="00E85802"/>
    <w:rPr>
      <w:sz w:val="20"/>
    </w:rPr>
  </w:style>
  <w:style w:type="character" w:customStyle="1" w:styleId="ListLabel5">
    <w:name w:val="ListLabel 5"/>
    <w:rsid w:val="00E85802"/>
    <w:rPr>
      <w:rFonts w:eastAsia="Times New Roman" w:cs="Arial"/>
      <w:sz w:val="22"/>
    </w:rPr>
  </w:style>
  <w:style w:type="character" w:customStyle="1" w:styleId="ListLabel6">
    <w:name w:val="ListLabel 6"/>
    <w:rsid w:val="00E85802"/>
    <w:rPr>
      <w:b w:val="0"/>
    </w:rPr>
  </w:style>
  <w:style w:type="character" w:customStyle="1" w:styleId="ListLabel7">
    <w:name w:val="ListLabel 7"/>
    <w:rsid w:val="00E85802"/>
    <w:rPr>
      <w:rFonts w:cs="Symbol"/>
    </w:rPr>
  </w:style>
  <w:style w:type="character" w:customStyle="1" w:styleId="ListLabel8">
    <w:name w:val="ListLabel 8"/>
    <w:rsid w:val="00E85802"/>
    <w:rPr>
      <w:sz w:val="20"/>
    </w:rPr>
  </w:style>
  <w:style w:type="character" w:customStyle="1" w:styleId="ListLabel9">
    <w:name w:val="ListLabel 9"/>
    <w:rsid w:val="00E85802"/>
    <w:rPr>
      <w:rFonts w:cs="Arial"/>
      <w:sz w:val="22"/>
    </w:rPr>
  </w:style>
  <w:style w:type="character" w:customStyle="1" w:styleId="ListLabel10">
    <w:name w:val="ListLabel 10"/>
    <w:rsid w:val="00E85802"/>
    <w:rPr>
      <w:rFonts w:cs="Courier New"/>
    </w:rPr>
  </w:style>
  <w:style w:type="character" w:customStyle="1" w:styleId="ListLabel11">
    <w:name w:val="ListLabel 11"/>
    <w:rsid w:val="00E85802"/>
    <w:rPr>
      <w:rFonts w:cs="Wingdings"/>
    </w:rPr>
  </w:style>
  <w:style w:type="character" w:customStyle="1" w:styleId="WW8Num31z0">
    <w:name w:val="WW8Num31z0"/>
    <w:rsid w:val="00E85802"/>
    <w:rPr>
      <w:b w:val="0"/>
    </w:rPr>
  </w:style>
  <w:style w:type="character" w:customStyle="1" w:styleId="Bullets">
    <w:name w:val="Bullets"/>
    <w:rsid w:val="00E85802"/>
    <w:rPr>
      <w:rFonts w:ascii="OpenSymbol" w:eastAsia="OpenSymbol" w:hAnsi="OpenSymbol" w:cs="OpenSymbol"/>
    </w:rPr>
  </w:style>
  <w:style w:type="character" w:customStyle="1" w:styleId="NumberingSymbols">
    <w:name w:val="Numbering Symbols"/>
    <w:rsid w:val="00E85802"/>
  </w:style>
  <w:style w:type="paragraph" w:customStyle="1" w:styleId="Heading">
    <w:name w:val="Heading"/>
    <w:basedOn w:val="DefaultStyle"/>
    <w:next w:val="TextBody"/>
    <w:rsid w:val="00E85802"/>
    <w:pPr>
      <w:keepNext/>
      <w:spacing w:before="240" w:after="120"/>
    </w:pPr>
    <w:rPr>
      <w:rFonts w:ascii="Arial" w:eastAsia="DejaVu Sans" w:hAnsi="Arial" w:cs="Lohit Hindi"/>
      <w:sz w:val="28"/>
      <w:szCs w:val="28"/>
    </w:rPr>
  </w:style>
  <w:style w:type="paragraph" w:customStyle="1" w:styleId="TextBody">
    <w:name w:val="Text Body"/>
    <w:basedOn w:val="DefaultStyle"/>
    <w:rsid w:val="00E85802"/>
    <w:pPr>
      <w:jc w:val="both"/>
    </w:pPr>
    <w:rPr>
      <w:rFonts w:ascii="Arial" w:hAnsi="Arial" w:cs="Times New Roman"/>
      <w:lang w:eastAsia="en-US"/>
    </w:rPr>
  </w:style>
  <w:style w:type="paragraph" w:customStyle="1" w:styleId="Index">
    <w:name w:val="Index"/>
    <w:basedOn w:val="DefaultStyle"/>
    <w:rsid w:val="00E85802"/>
    <w:pPr>
      <w:suppressLineNumbers/>
    </w:pPr>
    <w:rPr>
      <w:rFonts w:cs="Lohit Hindi"/>
    </w:rPr>
  </w:style>
  <w:style w:type="character" w:customStyle="1" w:styleId="PiedepginaCar2">
    <w:name w:val="Pie de página Car2"/>
    <w:uiPriority w:val="99"/>
    <w:rsid w:val="00E85802"/>
    <w:rPr>
      <w:rFonts w:ascii="Tahoma" w:eastAsia="Times New Roman" w:hAnsi="Tahoma" w:cs="Tahoma"/>
      <w:color w:val="000000"/>
      <w:sz w:val="24"/>
      <w:szCs w:val="24"/>
      <w:lang w:eastAsia="es-MX"/>
    </w:rPr>
  </w:style>
  <w:style w:type="paragraph" w:customStyle="1" w:styleId="t1">
    <w:name w:val="t1"/>
    <w:basedOn w:val="DefaultStyle"/>
    <w:rsid w:val="00E85802"/>
    <w:pPr>
      <w:widowControl w:val="0"/>
    </w:pPr>
    <w:rPr>
      <w:rFonts w:ascii="Times New Roman" w:hAnsi="Times New Roman" w:cs="Times New Roman"/>
      <w:szCs w:val="20"/>
      <w:lang w:val="en-US" w:eastAsia="es-ES"/>
    </w:rPr>
  </w:style>
  <w:style w:type="paragraph" w:customStyle="1" w:styleId="Estndar">
    <w:name w:val="Estándar"/>
    <w:basedOn w:val="DefaultStyle"/>
    <w:rsid w:val="00E85802"/>
    <w:rPr>
      <w:rFonts w:ascii="Times New Roman" w:hAnsi="Times New Roman" w:cs="Times New Roman"/>
      <w:szCs w:val="20"/>
      <w:lang w:val="en-US" w:eastAsia="es-ES"/>
    </w:rPr>
  </w:style>
  <w:style w:type="character" w:customStyle="1" w:styleId="TextodegloboCar2">
    <w:name w:val="Texto de globo Car2"/>
    <w:aliases w:val=" Car Car1"/>
    <w:uiPriority w:val="99"/>
    <w:rsid w:val="00E85802"/>
    <w:rPr>
      <w:rFonts w:ascii="Tahoma" w:eastAsia="Times New Roman" w:hAnsi="Tahoma" w:cs="Times New Roman"/>
      <w:color w:val="000000"/>
      <w:sz w:val="16"/>
      <w:szCs w:val="16"/>
      <w:lang w:val="en-US"/>
    </w:rPr>
  </w:style>
  <w:style w:type="character" w:customStyle="1" w:styleId="Sangra2detindependienteCar2">
    <w:name w:val="Sangría 2 de t. independiente Car2"/>
    <w:rsid w:val="00E85802"/>
    <w:rPr>
      <w:rFonts w:ascii="Arial" w:eastAsia="Times New Roman" w:hAnsi="Arial" w:cs="Times New Roman"/>
      <w:color w:val="000000"/>
      <w:sz w:val="20"/>
      <w:szCs w:val="24"/>
      <w:lang w:val="en-US"/>
    </w:rPr>
  </w:style>
  <w:style w:type="character" w:customStyle="1" w:styleId="Sangra3detindependienteCar2">
    <w:name w:val="Sangría 3 de t. independiente Car2"/>
    <w:rsid w:val="00E85802"/>
    <w:rPr>
      <w:rFonts w:ascii="Arial" w:eastAsia="Times New Roman" w:hAnsi="Arial" w:cs="Times New Roman"/>
      <w:bCs/>
      <w:color w:val="000000"/>
      <w:sz w:val="20"/>
      <w:szCs w:val="24"/>
      <w:lang w:val="en-US"/>
    </w:rPr>
  </w:style>
  <w:style w:type="character" w:customStyle="1" w:styleId="Textoindependiente2Car2">
    <w:name w:val="Texto independiente 2 Car2"/>
    <w:rsid w:val="00E85802"/>
    <w:rPr>
      <w:rFonts w:ascii="Arial" w:eastAsia="Times New Roman" w:hAnsi="Arial" w:cs="Times New Roman"/>
      <w:b/>
      <w:bCs/>
      <w:color w:val="000000"/>
      <w:sz w:val="24"/>
      <w:szCs w:val="24"/>
      <w:lang w:val="en-US"/>
    </w:rPr>
  </w:style>
  <w:style w:type="character" w:customStyle="1" w:styleId="Textoindependiente3Car2">
    <w:name w:val="Texto independiente 3 Car2"/>
    <w:rsid w:val="00E85802"/>
    <w:rPr>
      <w:rFonts w:ascii="Arial" w:eastAsia="Times New Roman" w:hAnsi="Arial" w:cs="Times New Roman"/>
      <w:color w:val="000000"/>
      <w:sz w:val="24"/>
      <w:szCs w:val="24"/>
      <w:lang w:val="en-US"/>
    </w:rPr>
  </w:style>
  <w:style w:type="paragraph" w:customStyle="1" w:styleId="TextBodyIndent">
    <w:name w:val="Text Body Indent"/>
    <w:basedOn w:val="TextBody"/>
    <w:rsid w:val="00E85802"/>
    <w:pPr>
      <w:spacing w:after="120"/>
      <w:ind w:firstLine="210"/>
      <w:jc w:val="left"/>
    </w:pPr>
    <w:rPr>
      <w:lang w:val="es-ES"/>
    </w:rPr>
  </w:style>
  <w:style w:type="paragraph" w:customStyle="1" w:styleId="TEXTOCONVIA">
    <w:name w:val="TEXTOCONVIÑA"/>
    <w:basedOn w:val="DefaultStyle"/>
    <w:rsid w:val="00E85802"/>
    <w:pPr>
      <w:tabs>
        <w:tab w:val="left" w:pos="567"/>
      </w:tabs>
      <w:spacing w:before="20" w:after="20" w:line="240" w:lineRule="atLeast"/>
      <w:jc w:val="both"/>
    </w:pPr>
    <w:rPr>
      <w:rFonts w:ascii="Arial" w:hAnsi="Arial" w:cs="Times New Roman"/>
      <w:sz w:val="20"/>
      <w:szCs w:val="20"/>
      <w:lang w:val="en-US" w:eastAsia="es-ES"/>
    </w:rPr>
  </w:style>
  <w:style w:type="paragraph" w:customStyle="1" w:styleId="Considerando">
    <w:name w:val="Considerando"/>
    <w:basedOn w:val="DefaultStyle"/>
    <w:rsid w:val="00E85802"/>
    <w:pPr>
      <w:spacing w:before="120" w:after="120" w:line="240" w:lineRule="atLeast"/>
      <w:jc w:val="center"/>
    </w:pPr>
    <w:rPr>
      <w:rFonts w:ascii="Arial" w:hAnsi="Arial" w:cs="Times New Roman"/>
      <w:sz w:val="20"/>
      <w:szCs w:val="20"/>
      <w:lang w:eastAsia="es-ES"/>
    </w:rPr>
  </w:style>
  <w:style w:type="character" w:customStyle="1" w:styleId="TextosinformatoCar2">
    <w:name w:val="Texto sin formato Car2"/>
    <w:rsid w:val="00E85802"/>
    <w:rPr>
      <w:rFonts w:ascii="Courier New" w:eastAsia="Times New Roman" w:hAnsi="Courier New" w:cs="Times New Roman"/>
      <w:color w:val="000000"/>
      <w:sz w:val="20"/>
      <w:szCs w:val="20"/>
      <w:lang w:val="en-US"/>
    </w:rPr>
  </w:style>
  <w:style w:type="paragraph" w:customStyle="1" w:styleId="CM17">
    <w:name w:val="CM17"/>
    <w:basedOn w:val="DefaultStyle"/>
    <w:uiPriority w:val="99"/>
    <w:rsid w:val="00E85802"/>
    <w:pPr>
      <w:widowControl w:val="0"/>
    </w:pPr>
    <w:rPr>
      <w:rFonts w:ascii="Arial" w:hAnsi="Arial" w:cs="Arial"/>
    </w:rPr>
  </w:style>
  <w:style w:type="paragraph" w:customStyle="1" w:styleId="CM25">
    <w:name w:val="CM25"/>
    <w:basedOn w:val="DefaultStyle"/>
    <w:uiPriority w:val="99"/>
    <w:rsid w:val="00E85802"/>
    <w:pPr>
      <w:widowControl w:val="0"/>
    </w:pPr>
    <w:rPr>
      <w:rFonts w:ascii="Arial" w:hAnsi="Arial" w:cs="Arial"/>
      <w:color w:val="00000A"/>
    </w:rPr>
  </w:style>
  <w:style w:type="paragraph" w:customStyle="1" w:styleId="contenido1">
    <w:name w:val="contenido1"/>
    <w:basedOn w:val="DefaultStyle"/>
    <w:rsid w:val="00E85802"/>
    <w:pPr>
      <w:spacing w:before="100" w:after="100"/>
    </w:pPr>
    <w:rPr>
      <w:rFonts w:ascii="Arial" w:hAnsi="Arial" w:cs="Arial"/>
      <w:bCs/>
      <w:lang w:eastAsia="es-ES"/>
    </w:rPr>
  </w:style>
  <w:style w:type="paragraph" w:customStyle="1" w:styleId="WW-Textoindependiente2">
    <w:name w:val="WW-Texto independiente 2"/>
    <w:basedOn w:val="DefaultStyle"/>
    <w:rsid w:val="00E85802"/>
    <w:pPr>
      <w:tabs>
        <w:tab w:val="right" w:pos="7200"/>
      </w:tabs>
      <w:jc w:val="both"/>
    </w:pPr>
    <w:rPr>
      <w:rFonts w:ascii="Arial" w:hAnsi="Arial" w:cs="Times New Roman"/>
      <w:szCs w:val="20"/>
      <w:lang w:eastAsia="es-ES"/>
    </w:rPr>
  </w:style>
  <w:style w:type="paragraph" w:customStyle="1" w:styleId="WW-Textoindependiente212">
    <w:name w:val="WW-Texto independiente 212"/>
    <w:basedOn w:val="DefaultStyle"/>
    <w:rsid w:val="00E85802"/>
    <w:pPr>
      <w:jc w:val="both"/>
    </w:pPr>
    <w:rPr>
      <w:rFonts w:ascii="Arial" w:hAnsi="Arial" w:cs="Times New Roman"/>
      <w:color w:val="FF0000"/>
      <w:szCs w:val="20"/>
      <w:lang w:eastAsia="es-ES"/>
    </w:rPr>
  </w:style>
  <w:style w:type="paragraph" w:customStyle="1" w:styleId="ecxmsobodytextindent2">
    <w:name w:val="ecxmsobodytextindent2"/>
    <w:basedOn w:val="DefaultStyle"/>
    <w:rsid w:val="00E85802"/>
    <w:pPr>
      <w:spacing w:after="324"/>
    </w:pPr>
    <w:rPr>
      <w:rFonts w:ascii="Times New Roman" w:hAnsi="Times New Roman" w:cs="Times New Roman"/>
      <w:lang w:eastAsia="es-ES"/>
    </w:rPr>
  </w:style>
  <w:style w:type="paragraph" w:customStyle="1" w:styleId="CarCarCarCarCarCar">
    <w:name w:val="Car Car Car Car Car Car"/>
    <w:basedOn w:val="DefaultStyle"/>
    <w:rsid w:val="00E85802"/>
    <w:pPr>
      <w:spacing w:after="160" w:line="240" w:lineRule="exact"/>
      <w:jc w:val="right"/>
    </w:pPr>
    <w:rPr>
      <w:rFonts w:ascii="Verdana" w:hAnsi="Verdana" w:cs="Arial"/>
      <w:sz w:val="20"/>
      <w:szCs w:val="21"/>
    </w:rPr>
  </w:style>
  <w:style w:type="character" w:customStyle="1" w:styleId="TextocomentarioCar2">
    <w:name w:val="Texto comentario Car2"/>
    <w:uiPriority w:val="99"/>
    <w:rsid w:val="00E85802"/>
    <w:rPr>
      <w:rFonts w:ascii="Calibri" w:eastAsia="Calibri" w:hAnsi="Calibri" w:cs="Times New Roman"/>
      <w:color w:val="000000"/>
      <w:sz w:val="20"/>
      <w:szCs w:val="20"/>
      <w:lang w:val="en-US" w:eastAsia="es-MX"/>
    </w:rPr>
  </w:style>
  <w:style w:type="character" w:customStyle="1" w:styleId="AsuntodelcomentarioCar2">
    <w:name w:val="Asunto del comentario Car2"/>
    <w:uiPriority w:val="99"/>
    <w:rsid w:val="00E85802"/>
    <w:rPr>
      <w:rFonts w:ascii="Calibri" w:eastAsia="Calibri" w:hAnsi="Calibri" w:cs="Times New Roman"/>
      <w:b/>
      <w:bCs/>
      <w:color w:val="000000"/>
      <w:sz w:val="20"/>
      <w:szCs w:val="20"/>
      <w:lang w:val="en-US" w:eastAsia="es-MX"/>
    </w:rPr>
  </w:style>
  <w:style w:type="paragraph" w:customStyle="1" w:styleId="ecxecxmsonormal">
    <w:name w:val="ecxecxmsonormal"/>
    <w:basedOn w:val="DefaultStyle"/>
    <w:rsid w:val="00E85802"/>
    <w:pPr>
      <w:spacing w:after="324"/>
    </w:pPr>
    <w:rPr>
      <w:rFonts w:ascii="Times New Roman" w:hAnsi="Times New Roman" w:cs="Times New Roman"/>
      <w:lang w:eastAsia="es-ES"/>
    </w:rPr>
  </w:style>
  <w:style w:type="paragraph" w:customStyle="1" w:styleId="corte6cintilloypie">
    <w:name w:val="corte6 cintillo y pie"/>
    <w:basedOn w:val="DefaultStyle"/>
    <w:rsid w:val="00E85802"/>
    <w:pPr>
      <w:jc w:val="right"/>
    </w:pPr>
    <w:rPr>
      <w:rFonts w:ascii="Arial" w:hAnsi="Arial" w:cs="Times New Roman"/>
      <w:b/>
      <w:caps/>
      <w:szCs w:val="30"/>
    </w:rPr>
  </w:style>
  <w:style w:type="paragraph" w:customStyle="1" w:styleId="corte7tablas">
    <w:name w:val="corte7 tablas"/>
    <w:basedOn w:val="corte5transcripcion"/>
    <w:rsid w:val="00E85802"/>
    <w:pPr>
      <w:suppressAutoHyphens/>
      <w:overflowPunct w:val="0"/>
      <w:ind w:left="0" w:right="0"/>
      <w:jc w:val="center"/>
    </w:pPr>
    <w:rPr>
      <w:color w:val="000000"/>
      <w:sz w:val="24"/>
      <w:szCs w:val="24"/>
      <w:lang w:val="en-US" w:eastAsia="en-US"/>
    </w:rPr>
  </w:style>
  <w:style w:type="character" w:customStyle="1" w:styleId="TextonotapieCar2">
    <w:name w:val="Texto nota pie Car2"/>
    <w:rsid w:val="00E85802"/>
    <w:rPr>
      <w:rFonts w:ascii="Times New Roman" w:eastAsia="Times New Roman" w:hAnsi="Times New Roman" w:cs="Times New Roman"/>
      <w:color w:val="000000"/>
      <w:sz w:val="20"/>
      <w:szCs w:val="20"/>
      <w:lang w:eastAsia="es-MX"/>
    </w:rPr>
  </w:style>
  <w:style w:type="paragraph" w:customStyle="1" w:styleId="TEXTONORMAL">
    <w:name w:val="TEXTO NORMAL"/>
    <w:basedOn w:val="DefaultStyle"/>
    <w:rsid w:val="00E85802"/>
    <w:pPr>
      <w:spacing w:line="360" w:lineRule="auto"/>
      <w:ind w:firstLine="709"/>
      <w:jc w:val="both"/>
    </w:pPr>
    <w:rPr>
      <w:rFonts w:ascii="Arial" w:hAnsi="Arial" w:cs="Arial"/>
      <w:sz w:val="28"/>
      <w:szCs w:val="28"/>
      <w:lang w:val="en-US"/>
    </w:rPr>
  </w:style>
  <w:style w:type="paragraph" w:customStyle="1" w:styleId="corte4fondoCarCarCarCar">
    <w:name w:val="corte4 fondo Car Car Car Car"/>
    <w:basedOn w:val="DefaultStyle"/>
    <w:rsid w:val="00E85802"/>
    <w:pPr>
      <w:spacing w:line="360" w:lineRule="auto"/>
      <w:ind w:firstLine="709"/>
      <w:jc w:val="both"/>
    </w:pPr>
    <w:rPr>
      <w:rFonts w:ascii="Arial" w:hAnsi="Arial"/>
      <w:sz w:val="30"/>
    </w:rPr>
  </w:style>
  <w:style w:type="paragraph" w:customStyle="1" w:styleId="BodyText23">
    <w:name w:val="Body Text 23"/>
    <w:basedOn w:val="DefaultStyle"/>
    <w:rsid w:val="00E85802"/>
    <w:pPr>
      <w:widowControl w:val="0"/>
      <w:jc w:val="both"/>
    </w:pPr>
    <w:rPr>
      <w:rFonts w:ascii="Arial" w:hAnsi="Arial" w:cs="Times New Roman"/>
      <w:szCs w:val="20"/>
      <w:lang w:eastAsia="es-ES"/>
    </w:rPr>
  </w:style>
  <w:style w:type="paragraph" w:customStyle="1" w:styleId="corte5transcripcionCarCarCar">
    <w:name w:val="corte5 transcripcion Car Car Car"/>
    <w:basedOn w:val="DefaultStyle"/>
    <w:rsid w:val="00E85802"/>
    <w:pPr>
      <w:spacing w:line="360" w:lineRule="auto"/>
      <w:ind w:left="709" w:right="709"/>
      <w:jc w:val="both"/>
    </w:pPr>
    <w:rPr>
      <w:rFonts w:ascii="Arial" w:hAnsi="Arial" w:cs="Times New Roman"/>
      <w:b/>
      <w:i/>
      <w:sz w:val="30"/>
      <w:szCs w:val="30"/>
      <w:lang w:val="en-US" w:eastAsia="en-US"/>
    </w:rPr>
  </w:style>
  <w:style w:type="character" w:customStyle="1" w:styleId="TextonotaalfinalCar2">
    <w:name w:val="Texto nota al final Car2"/>
    <w:rsid w:val="00E85802"/>
    <w:rPr>
      <w:rFonts w:ascii="Arial" w:eastAsia="Times New Roman" w:hAnsi="Arial"/>
      <w:b/>
      <w:color w:val="000000"/>
      <w:lang w:val="en-US" w:eastAsia="en-US"/>
    </w:rPr>
  </w:style>
  <w:style w:type="paragraph" w:customStyle="1" w:styleId="corte4fondoCar2Car">
    <w:name w:val="corte4 fondo Car2 Car"/>
    <w:basedOn w:val="DefaultStyle"/>
    <w:rsid w:val="00E85802"/>
    <w:pPr>
      <w:spacing w:line="360" w:lineRule="auto"/>
      <w:ind w:firstLine="709"/>
      <w:jc w:val="both"/>
    </w:pPr>
    <w:rPr>
      <w:rFonts w:ascii="Arial" w:hAnsi="Arial" w:cs="Times New Roman"/>
      <w:sz w:val="30"/>
    </w:rPr>
  </w:style>
  <w:style w:type="paragraph" w:customStyle="1" w:styleId="style7">
    <w:name w:val="style7"/>
    <w:basedOn w:val="DefaultStyle"/>
    <w:rsid w:val="00E85802"/>
    <w:pPr>
      <w:spacing w:before="100" w:after="100"/>
    </w:pPr>
    <w:rPr>
      <w:rFonts w:ascii="Times New Roman" w:hAnsi="Times New Roman" w:cs="Times New Roman"/>
    </w:rPr>
  </w:style>
  <w:style w:type="character" w:customStyle="1" w:styleId="MapadeldocumentoCar2">
    <w:name w:val="Mapa del documento Car2"/>
    <w:rsid w:val="00E85802"/>
    <w:rPr>
      <w:rFonts w:ascii="Tahoma" w:eastAsia="Times New Roman" w:hAnsi="Tahoma" w:cs="Times New Roman"/>
      <w:color w:val="000000"/>
      <w:sz w:val="20"/>
      <w:szCs w:val="20"/>
      <w:shd w:val="clear" w:color="auto" w:fill="000080"/>
      <w:lang w:val="en-US"/>
    </w:rPr>
  </w:style>
  <w:style w:type="paragraph" w:customStyle="1" w:styleId="Pa3">
    <w:name w:val="Pa3"/>
    <w:basedOn w:val="DefaultStyle"/>
    <w:rsid w:val="00E85802"/>
    <w:pPr>
      <w:spacing w:line="241" w:lineRule="atLeast"/>
    </w:pPr>
    <w:rPr>
      <w:rFonts w:ascii="Myriad Pro Light" w:eastAsia="Calibri" w:hAnsi="Myriad Pro Light" w:cs="Times New Roman"/>
    </w:rPr>
  </w:style>
  <w:style w:type="paragraph" w:customStyle="1" w:styleId="Pa4">
    <w:name w:val="Pa4"/>
    <w:basedOn w:val="DefaultStyle"/>
    <w:rsid w:val="00E85802"/>
    <w:pPr>
      <w:spacing w:line="221" w:lineRule="atLeast"/>
    </w:pPr>
    <w:rPr>
      <w:rFonts w:ascii="Myriad Pro Light" w:eastAsia="Calibri" w:hAnsi="Myriad Pro Light" w:cs="Times New Roman"/>
    </w:rPr>
  </w:style>
  <w:style w:type="paragraph" w:customStyle="1" w:styleId="Pa5">
    <w:name w:val="Pa5"/>
    <w:basedOn w:val="DefaultStyle"/>
    <w:rsid w:val="00E85802"/>
    <w:pPr>
      <w:spacing w:line="221" w:lineRule="atLeast"/>
    </w:pPr>
    <w:rPr>
      <w:rFonts w:ascii="Myriad Pro Light" w:eastAsia="Calibri" w:hAnsi="Myriad Pro Light" w:cs="Times New Roman"/>
    </w:rPr>
  </w:style>
  <w:style w:type="paragraph" w:customStyle="1" w:styleId="jos">
    <w:name w:val="jos"/>
    <w:basedOn w:val="DefaultStyle"/>
    <w:rsid w:val="00E85802"/>
    <w:pPr>
      <w:spacing w:before="100" w:after="100"/>
      <w:jc w:val="both"/>
    </w:pPr>
    <w:rPr>
      <w:rFonts w:ascii="Times New Roman" w:hAnsi="Times New Roman" w:cs="Times New Roman"/>
      <w:color w:val="FFFFCC"/>
    </w:rPr>
  </w:style>
  <w:style w:type="character" w:customStyle="1" w:styleId="SangradetextonormalCar2">
    <w:name w:val="Sangría de texto normal Car2"/>
    <w:rsid w:val="00E85802"/>
    <w:rPr>
      <w:rFonts w:eastAsia="Times New Roman"/>
      <w:lang w:eastAsia="es-MX"/>
    </w:rPr>
  </w:style>
  <w:style w:type="character" w:customStyle="1" w:styleId="Textoindependienteprimerasangra2Car2">
    <w:name w:val="Texto independiente primera sangría 2 Car2"/>
    <w:rsid w:val="00E85802"/>
    <w:rPr>
      <w:rFonts w:ascii="Arial" w:eastAsia="Times New Roman" w:hAnsi="Arial" w:cs="Times New Roman"/>
      <w:bCs/>
      <w:color w:val="000000"/>
      <w:sz w:val="24"/>
      <w:szCs w:val="24"/>
      <w:lang w:val="en-US" w:eastAsia="es-MX"/>
    </w:rPr>
  </w:style>
  <w:style w:type="paragraph" w:customStyle="1" w:styleId="Contents1">
    <w:name w:val="Contents 1"/>
    <w:basedOn w:val="DefaultStyle"/>
    <w:rsid w:val="00E85802"/>
    <w:rPr>
      <w:rFonts w:ascii="Times New Roman" w:hAnsi="Times New Roman" w:cs="Times New Roman"/>
      <w:sz w:val="20"/>
      <w:szCs w:val="20"/>
      <w:lang w:val="en-US" w:eastAsia="es-ES"/>
    </w:rPr>
  </w:style>
  <w:style w:type="paragraph" w:customStyle="1" w:styleId="Vieta1">
    <w:name w:val="Viñeta 1"/>
    <w:basedOn w:val="DefaultStyle"/>
    <w:rsid w:val="00E85802"/>
    <w:pPr>
      <w:keepLines/>
      <w:tabs>
        <w:tab w:val="left" w:pos="567"/>
      </w:tabs>
      <w:spacing w:before="120" w:after="120"/>
      <w:jc w:val="both"/>
    </w:pPr>
    <w:rPr>
      <w:rFonts w:ascii="Arial" w:hAnsi="Arial" w:cs="Arial"/>
      <w:lang w:eastAsia="es-ES"/>
    </w:rPr>
  </w:style>
  <w:style w:type="paragraph" w:customStyle="1" w:styleId="Titulo40">
    <w:name w:val="Titulo 4"/>
    <w:rsid w:val="00E85802"/>
    <w:pPr>
      <w:widowControl w:val="0"/>
      <w:suppressAutoHyphens/>
      <w:overflowPunct w:val="0"/>
      <w:spacing w:after="160" w:line="100" w:lineRule="atLeast"/>
    </w:pPr>
    <w:rPr>
      <w:rFonts w:ascii="Tahoma" w:eastAsia="Times New Roman" w:hAnsi="Tahoma"/>
      <w:b/>
      <w:color w:val="00000A"/>
      <w:lang w:val="es-ES" w:eastAsia="es-ES"/>
    </w:rPr>
  </w:style>
  <w:style w:type="paragraph" w:customStyle="1" w:styleId="xl44">
    <w:name w:val="xl44"/>
    <w:basedOn w:val="DefaultStyle"/>
    <w:rsid w:val="00E85802"/>
    <w:pPr>
      <w:pBdr>
        <w:left w:val="single" w:sz="4" w:space="0" w:color="00000A"/>
        <w:right w:val="single" w:sz="4" w:space="0" w:color="00000A"/>
      </w:pBdr>
      <w:spacing w:before="100" w:after="100"/>
      <w:jc w:val="center"/>
    </w:pPr>
    <w:rPr>
      <w:rFonts w:ascii="Arial Unicode MS" w:eastAsia="Arial Unicode MS" w:hAnsi="Arial Unicode MS" w:cs="Courier New"/>
      <w:lang w:eastAsia="es-ES"/>
    </w:rPr>
  </w:style>
  <w:style w:type="paragraph" w:customStyle="1" w:styleId="textonormal0">
    <w:name w:val="textonormal"/>
    <w:basedOn w:val="DefaultStyle"/>
    <w:rsid w:val="00E85802"/>
    <w:pPr>
      <w:spacing w:before="100" w:after="100"/>
      <w:jc w:val="both"/>
    </w:pPr>
    <w:rPr>
      <w:rFonts w:ascii="Verdana" w:hAnsi="Verdana" w:cs="Times New Roman"/>
      <w:sz w:val="17"/>
      <w:szCs w:val="17"/>
      <w:lang w:val="en-US" w:eastAsia="en-US"/>
    </w:rPr>
  </w:style>
  <w:style w:type="paragraph" w:customStyle="1" w:styleId="xl24">
    <w:name w:val="xl24"/>
    <w:basedOn w:val="DefaultStyle"/>
    <w:rsid w:val="00E85802"/>
    <w:pPr>
      <w:spacing w:before="100" w:after="100"/>
      <w:jc w:val="both"/>
    </w:pPr>
    <w:rPr>
      <w:rFonts w:eastAsia="Arial Unicode MS"/>
      <w:lang w:eastAsia="es-ES"/>
    </w:rPr>
  </w:style>
  <w:style w:type="paragraph" w:customStyle="1" w:styleId="xl29">
    <w:name w:val="xl29"/>
    <w:basedOn w:val="DefaultStyle"/>
    <w:rsid w:val="00E85802"/>
    <w:pPr>
      <w:pBdr>
        <w:left w:val="single" w:sz="4" w:space="0" w:color="00000A"/>
        <w:bottom w:val="single" w:sz="4" w:space="0" w:color="00000A"/>
        <w:right w:val="single" w:sz="4" w:space="0" w:color="00000A"/>
      </w:pBdr>
      <w:spacing w:before="100" w:after="100"/>
      <w:jc w:val="both"/>
      <w:textAlignment w:val="top"/>
    </w:pPr>
    <w:rPr>
      <w:rFonts w:eastAsia="Arial Unicode MS"/>
      <w:b/>
      <w:bCs/>
      <w:lang w:eastAsia="es-ES"/>
    </w:rPr>
  </w:style>
  <w:style w:type="paragraph" w:customStyle="1" w:styleId="xl25">
    <w:name w:val="xl25"/>
    <w:basedOn w:val="DefaultStyle"/>
    <w:rsid w:val="00E85802"/>
    <w:pPr>
      <w:pBdr>
        <w:bottom w:val="single" w:sz="4" w:space="0" w:color="00000A"/>
        <w:right w:val="single" w:sz="4" w:space="0" w:color="00000A"/>
      </w:pBdr>
      <w:spacing w:before="100" w:after="100"/>
      <w:jc w:val="right"/>
      <w:textAlignment w:val="top"/>
    </w:pPr>
    <w:rPr>
      <w:rFonts w:eastAsia="Arial Unicode MS"/>
      <w:lang w:eastAsia="es-ES"/>
    </w:rPr>
  </w:style>
  <w:style w:type="paragraph" w:customStyle="1" w:styleId="xl26">
    <w:name w:val="xl26"/>
    <w:basedOn w:val="DefaultStyle"/>
    <w:rsid w:val="00E85802"/>
    <w:pPr>
      <w:pBdr>
        <w:top w:val="single" w:sz="4" w:space="0" w:color="000001"/>
        <w:left w:val="single" w:sz="8" w:space="0" w:color="000001"/>
        <w:bottom w:val="single" w:sz="4" w:space="0" w:color="000001"/>
        <w:right w:val="single" w:sz="8" w:space="0" w:color="000001"/>
      </w:pBdr>
      <w:shd w:val="clear" w:color="auto" w:fill="C0C0C0"/>
      <w:spacing w:before="100" w:after="100"/>
      <w:textAlignment w:val="top"/>
    </w:pPr>
    <w:rPr>
      <w:rFonts w:ascii="CG Times" w:hAnsi="CG Times" w:cs="Times New Roman"/>
      <w:b/>
      <w:bCs/>
      <w:sz w:val="14"/>
      <w:szCs w:val="14"/>
      <w:u w:val="single"/>
      <w:lang w:eastAsia="es-ES"/>
    </w:rPr>
  </w:style>
  <w:style w:type="paragraph" w:customStyle="1" w:styleId="xl27">
    <w:name w:val="xl27"/>
    <w:basedOn w:val="DefaultStyle"/>
    <w:rsid w:val="00E85802"/>
    <w:pPr>
      <w:pBdr>
        <w:left w:val="single" w:sz="4" w:space="0" w:color="00000A"/>
        <w:bottom w:val="single" w:sz="4" w:space="0" w:color="00000A"/>
        <w:right w:val="single" w:sz="4" w:space="0" w:color="00000A"/>
      </w:pBdr>
      <w:spacing w:before="100" w:after="100"/>
      <w:jc w:val="both"/>
      <w:textAlignment w:val="top"/>
    </w:pPr>
    <w:rPr>
      <w:rFonts w:eastAsia="Arial Unicode MS"/>
      <w:lang w:eastAsia="es-ES"/>
    </w:rPr>
  </w:style>
  <w:style w:type="paragraph" w:customStyle="1" w:styleId="xl28">
    <w:name w:val="xl28"/>
    <w:basedOn w:val="DefaultStyle"/>
    <w:rsid w:val="00E85802"/>
    <w:pPr>
      <w:pBdr>
        <w:left w:val="single" w:sz="4" w:space="0" w:color="00000A"/>
        <w:bottom w:val="single" w:sz="4" w:space="0" w:color="00000A"/>
        <w:right w:val="single" w:sz="4" w:space="0" w:color="00000A"/>
      </w:pBdr>
      <w:spacing w:before="100" w:after="100"/>
      <w:jc w:val="both"/>
      <w:textAlignment w:val="top"/>
    </w:pPr>
    <w:rPr>
      <w:rFonts w:ascii="Times New Roman" w:eastAsia="Arial Unicode MS" w:hAnsi="Times New Roman" w:cs="Times New Roman"/>
      <w:lang w:eastAsia="es-ES"/>
    </w:rPr>
  </w:style>
  <w:style w:type="paragraph" w:customStyle="1" w:styleId="xl30">
    <w:name w:val="xl30"/>
    <w:basedOn w:val="DefaultStyle"/>
    <w:rsid w:val="00E85802"/>
    <w:pPr>
      <w:pBdr>
        <w:bottom w:val="single" w:sz="4" w:space="0" w:color="00000A"/>
        <w:right w:val="single" w:sz="4" w:space="0" w:color="00000A"/>
      </w:pBdr>
      <w:spacing w:before="100" w:after="100"/>
      <w:jc w:val="right"/>
      <w:textAlignment w:val="top"/>
    </w:pPr>
    <w:rPr>
      <w:rFonts w:ascii="Times New Roman" w:eastAsia="Arial Unicode MS" w:hAnsi="Times New Roman" w:cs="Times New Roman"/>
      <w:lang w:eastAsia="es-ES"/>
    </w:rPr>
  </w:style>
  <w:style w:type="paragraph" w:customStyle="1" w:styleId="xl31">
    <w:name w:val="xl31"/>
    <w:basedOn w:val="DefaultStyle"/>
    <w:rsid w:val="00E85802"/>
    <w:pPr>
      <w:pBdr>
        <w:bottom w:val="single" w:sz="4" w:space="0" w:color="00000A"/>
        <w:right w:val="single" w:sz="4" w:space="0" w:color="00000A"/>
      </w:pBdr>
      <w:shd w:val="clear" w:color="auto" w:fill="606060"/>
      <w:spacing w:before="100" w:after="100"/>
      <w:jc w:val="right"/>
    </w:pPr>
    <w:rPr>
      <w:rFonts w:eastAsia="Arial Unicode MS"/>
      <w:b/>
      <w:bCs/>
      <w:lang w:eastAsia="es-ES"/>
    </w:rPr>
  </w:style>
  <w:style w:type="paragraph" w:customStyle="1" w:styleId="xl32">
    <w:name w:val="xl32"/>
    <w:basedOn w:val="DefaultStyle"/>
    <w:rsid w:val="00E85802"/>
    <w:pPr>
      <w:pBdr>
        <w:bottom w:val="single" w:sz="4" w:space="0" w:color="00000A"/>
        <w:right w:val="single" w:sz="4" w:space="0" w:color="00000A"/>
      </w:pBdr>
      <w:spacing w:before="100" w:after="100"/>
      <w:jc w:val="right"/>
      <w:textAlignment w:val="top"/>
    </w:pPr>
    <w:rPr>
      <w:rFonts w:eastAsia="Arial Unicode MS"/>
      <w:b/>
      <w:bCs/>
      <w:lang w:eastAsia="es-ES"/>
    </w:rPr>
  </w:style>
  <w:style w:type="paragraph" w:customStyle="1" w:styleId="xl33">
    <w:name w:val="xl33"/>
    <w:basedOn w:val="DefaultStyle"/>
    <w:rsid w:val="00E85802"/>
    <w:pPr>
      <w:pBdr>
        <w:bottom w:val="single" w:sz="4" w:space="0" w:color="00000A"/>
        <w:right w:val="single" w:sz="4" w:space="0" w:color="00000A"/>
      </w:pBdr>
      <w:spacing w:before="100" w:after="100"/>
      <w:jc w:val="right"/>
      <w:textAlignment w:val="top"/>
    </w:pPr>
    <w:rPr>
      <w:rFonts w:eastAsia="Arial Unicode MS"/>
      <w:lang w:eastAsia="es-ES"/>
    </w:rPr>
  </w:style>
  <w:style w:type="paragraph" w:customStyle="1" w:styleId="xl34">
    <w:name w:val="xl34"/>
    <w:basedOn w:val="DefaultStyle"/>
    <w:rsid w:val="00E85802"/>
    <w:pPr>
      <w:pBdr>
        <w:bottom w:val="single" w:sz="4" w:space="0" w:color="00000A"/>
        <w:right w:val="single" w:sz="4" w:space="0" w:color="00000A"/>
      </w:pBdr>
      <w:shd w:val="clear" w:color="auto" w:fill="606060"/>
      <w:spacing w:before="100" w:after="100"/>
      <w:jc w:val="right"/>
    </w:pPr>
    <w:rPr>
      <w:rFonts w:eastAsia="Arial Unicode MS"/>
      <w:b/>
      <w:bCs/>
      <w:lang w:eastAsia="es-ES"/>
    </w:rPr>
  </w:style>
  <w:style w:type="paragraph" w:customStyle="1" w:styleId="xl36">
    <w:name w:val="xl36"/>
    <w:basedOn w:val="DefaultStyle"/>
    <w:rsid w:val="00E85802"/>
    <w:pPr>
      <w:pBdr>
        <w:bottom w:val="single" w:sz="4" w:space="0" w:color="00000A"/>
        <w:right w:val="single" w:sz="4" w:space="0" w:color="00000A"/>
      </w:pBdr>
      <w:spacing w:before="100" w:after="100"/>
      <w:jc w:val="right"/>
      <w:textAlignment w:val="top"/>
    </w:pPr>
    <w:rPr>
      <w:rFonts w:eastAsia="Arial Unicode MS"/>
      <w:b/>
      <w:bCs/>
      <w:lang w:eastAsia="es-ES"/>
    </w:rPr>
  </w:style>
  <w:style w:type="paragraph" w:customStyle="1" w:styleId="xl37">
    <w:name w:val="xl37"/>
    <w:basedOn w:val="DefaultStyle"/>
    <w:rsid w:val="00E85802"/>
    <w:pPr>
      <w:pBdr>
        <w:bottom w:val="single" w:sz="4" w:space="0" w:color="00000A"/>
        <w:right w:val="single" w:sz="4" w:space="0" w:color="00000A"/>
      </w:pBdr>
      <w:spacing w:before="100" w:after="100"/>
      <w:jc w:val="right"/>
      <w:textAlignment w:val="top"/>
    </w:pPr>
    <w:rPr>
      <w:rFonts w:eastAsia="Arial Unicode MS"/>
      <w:lang w:eastAsia="es-ES"/>
    </w:rPr>
  </w:style>
  <w:style w:type="paragraph" w:customStyle="1" w:styleId="xl38">
    <w:name w:val="xl38"/>
    <w:basedOn w:val="DefaultStyle"/>
    <w:rsid w:val="00E85802"/>
    <w:pPr>
      <w:pBdr>
        <w:left w:val="single" w:sz="4" w:space="0" w:color="00000A"/>
        <w:bottom w:val="single" w:sz="4" w:space="0" w:color="00000A"/>
        <w:right w:val="single" w:sz="4" w:space="0" w:color="00000A"/>
      </w:pBdr>
      <w:spacing w:before="100" w:after="100"/>
      <w:jc w:val="both"/>
      <w:textAlignment w:val="top"/>
    </w:pPr>
    <w:rPr>
      <w:rFonts w:eastAsia="Arial Unicode MS"/>
      <w:color w:val="FFFFFF"/>
      <w:lang w:eastAsia="es-ES"/>
    </w:rPr>
  </w:style>
  <w:style w:type="paragraph" w:customStyle="1" w:styleId="xl39">
    <w:name w:val="xl39"/>
    <w:basedOn w:val="DefaultStyle"/>
    <w:rsid w:val="00E85802"/>
    <w:pPr>
      <w:pBdr>
        <w:top w:val="single" w:sz="4" w:space="0" w:color="00000A"/>
        <w:bottom w:val="single" w:sz="4" w:space="0" w:color="00000A"/>
      </w:pBdr>
      <w:shd w:val="clear" w:color="auto" w:fill="404040"/>
      <w:spacing w:before="100" w:after="100"/>
      <w:jc w:val="center"/>
      <w:textAlignment w:val="center"/>
    </w:pPr>
    <w:rPr>
      <w:rFonts w:eastAsia="Arial Unicode MS"/>
      <w:b/>
      <w:bCs/>
      <w:color w:val="FFFFFF"/>
      <w:lang w:eastAsia="es-ES"/>
    </w:rPr>
  </w:style>
  <w:style w:type="paragraph" w:customStyle="1" w:styleId="xl40">
    <w:name w:val="xl40"/>
    <w:basedOn w:val="DefaultStyle"/>
    <w:rsid w:val="00E85802"/>
    <w:pPr>
      <w:pBdr>
        <w:top w:val="single" w:sz="4" w:space="0" w:color="00000A"/>
        <w:bottom w:val="single" w:sz="4" w:space="0" w:color="00000A"/>
        <w:right w:val="single" w:sz="4" w:space="0" w:color="00000A"/>
      </w:pBdr>
      <w:shd w:val="clear" w:color="auto" w:fill="404040"/>
      <w:spacing w:before="100" w:after="100"/>
      <w:jc w:val="center"/>
      <w:textAlignment w:val="center"/>
    </w:pPr>
    <w:rPr>
      <w:rFonts w:eastAsia="Arial Unicode MS"/>
      <w:b/>
      <w:bCs/>
      <w:color w:val="FFFFFF"/>
      <w:lang w:eastAsia="es-ES"/>
    </w:rPr>
  </w:style>
  <w:style w:type="paragraph" w:customStyle="1" w:styleId="ComplimentaryClose">
    <w:name w:val="Complimentary Close"/>
    <w:basedOn w:val="DefaultStyle"/>
    <w:rsid w:val="00E85802"/>
    <w:rPr>
      <w:rFonts w:ascii="Times New Roman" w:hAnsi="Times New Roman" w:cs="Times New Roman"/>
      <w:lang w:val="en-US" w:eastAsia="en-US"/>
    </w:rPr>
  </w:style>
  <w:style w:type="paragraph" w:styleId="Continuarlista2">
    <w:name w:val="List Continue 2"/>
    <w:basedOn w:val="DefaultStyle"/>
    <w:rsid w:val="00E85802"/>
    <w:pPr>
      <w:spacing w:after="120"/>
      <w:ind w:left="566"/>
    </w:pPr>
    <w:rPr>
      <w:rFonts w:ascii="Times New Roman" w:hAnsi="Times New Roman" w:cs="Times New Roman"/>
      <w:lang w:eastAsia="es-ES"/>
    </w:rPr>
  </w:style>
  <w:style w:type="paragraph" w:customStyle="1" w:styleId="WW-Textoindependiente3">
    <w:name w:val="WW-Texto independiente 3"/>
    <w:basedOn w:val="DefaultStyle"/>
    <w:rsid w:val="00E85802"/>
    <w:pPr>
      <w:jc w:val="both"/>
    </w:pPr>
    <w:rPr>
      <w:rFonts w:ascii="Arial" w:hAnsi="Arial" w:cs="Times New Roman"/>
      <w:sz w:val="20"/>
      <w:szCs w:val="20"/>
      <w:lang w:val="en-US" w:eastAsia="es-ES"/>
    </w:rPr>
  </w:style>
  <w:style w:type="paragraph" w:customStyle="1" w:styleId="Balazo2">
    <w:name w:val="Balazo_2"/>
    <w:basedOn w:val="DefaultStyle"/>
    <w:rsid w:val="00E85802"/>
    <w:pPr>
      <w:jc w:val="both"/>
    </w:pPr>
    <w:rPr>
      <w:rFonts w:ascii="Arial" w:hAnsi="Arial" w:cs="Times New Roman"/>
      <w:sz w:val="16"/>
      <w:szCs w:val="20"/>
      <w:lang w:eastAsia="es-ES"/>
    </w:rPr>
  </w:style>
  <w:style w:type="paragraph" w:customStyle="1" w:styleId="estilo7">
    <w:name w:val="estilo7"/>
    <w:basedOn w:val="DefaultStyle"/>
    <w:rsid w:val="00E85802"/>
    <w:pPr>
      <w:spacing w:before="100" w:after="100"/>
    </w:pPr>
    <w:rPr>
      <w:rFonts w:ascii="Arial" w:hAnsi="Arial" w:cs="Arial"/>
      <w:color w:val="CCFFCC"/>
      <w:sz w:val="18"/>
      <w:szCs w:val="18"/>
      <w:lang w:eastAsia="es-ES"/>
    </w:rPr>
  </w:style>
  <w:style w:type="paragraph" w:customStyle="1" w:styleId="CarCar1Car">
    <w:name w:val="Car Car1 Car"/>
    <w:basedOn w:val="DefaultStyle"/>
    <w:rsid w:val="00E85802"/>
    <w:pPr>
      <w:spacing w:after="160" w:line="240" w:lineRule="exact"/>
      <w:jc w:val="right"/>
    </w:pPr>
    <w:rPr>
      <w:rFonts w:ascii="Verdana" w:hAnsi="Verdana" w:cs="Arial"/>
      <w:sz w:val="20"/>
      <w:szCs w:val="21"/>
    </w:rPr>
  </w:style>
  <w:style w:type="paragraph" w:customStyle="1" w:styleId="ROM1">
    <w:name w:val="ROM+1"/>
    <w:basedOn w:val="DefaultStyle"/>
    <w:rsid w:val="00E85802"/>
    <w:pPr>
      <w:tabs>
        <w:tab w:val="left" w:pos="2520"/>
      </w:tabs>
      <w:spacing w:after="101" w:line="216" w:lineRule="exact"/>
      <w:ind w:left="840" w:hanging="552"/>
      <w:jc w:val="both"/>
    </w:pPr>
    <w:rPr>
      <w:rFonts w:ascii="Arial" w:eastAsia="Calibri" w:hAnsi="Arial" w:cs="Arial"/>
      <w:sz w:val="18"/>
      <w:szCs w:val="18"/>
      <w:lang w:eastAsia="es-ES"/>
    </w:rPr>
  </w:style>
  <w:style w:type="paragraph" w:customStyle="1" w:styleId="Anotacion0">
    <w:name w:val="Anotacion"/>
    <w:basedOn w:val="DefaultStyle"/>
    <w:rsid w:val="00E85802"/>
    <w:pPr>
      <w:spacing w:before="101" w:after="101"/>
      <w:jc w:val="center"/>
    </w:pPr>
    <w:rPr>
      <w:rFonts w:ascii="Times New Roman" w:hAnsi="Times New Roman" w:cs="Arial"/>
      <w:b/>
      <w:sz w:val="18"/>
      <w:szCs w:val="18"/>
      <w:lang w:eastAsia="es-ES"/>
    </w:rPr>
  </w:style>
  <w:style w:type="paragraph" w:customStyle="1" w:styleId="titulo-tablas">
    <w:name w:val="titulo-tablas"/>
    <w:basedOn w:val="DefaultStyle"/>
    <w:rsid w:val="00E85802"/>
    <w:pPr>
      <w:jc w:val="center"/>
    </w:pPr>
    <w:rPr>
      <w:rFonts w:ascii="Arial" w:hAnsi="Arial" w:cs="Arial"/>
      <w:b/>
      <w:sz w:val="20"/>
      <w:szCs w:val="20"/>
      <w:lang w:eastAsia="es-ES"/>
    </w:rPr>
  </w:style>
  <w:style w:type="paragraph" w:customStyle="1" w:styleId="tabla-contenido">
    <w:name w:val="tabla-contenido"/>
    <w:basedOn w:val="DefaultStyle"/>
    <w:rsid w:val="00E85802"/>
    <w:pPr>
      <w:spacing w:before="50" w:after="50"/>
      <w:jc w:val="both"/>
    </w:pPr>
    <w:rPr>
      <w:rFonts w:ascii="Arial" w:hAnsi="Arial" w:cs="Arial"/>
      <w:sz w:val="20"/>
      <w:szCs w:val="20"/>
      <w:lang w:eastAsia="es-ES"/>
    </w:rPr>
  </w:style>
  <w:style w:type="paragraph" w:customStyle="1" w:styleId="p2">
    <w:name w:val="p2"/>
    <w:basedOn w:val="DefaultStyle"/>
    <w:rsid w:val="00E85802"/>
    <w:pPr>
      <w:widowControl w:val="0"/>
      <w:tabs>
        <w:tab w:val="left" w:pos="1557"/>
      </w:tabs>
      <w:ind w:left="39"/>
    </w:pPr>
    <w:rPr>
      <w:rFonts w:ascii="Times New Roman" w:hAnsi="Times New Roman" w:cs="Times New Roman"/>
      <w:sz w:val="20"/>
      <w:lang w:val="en-US" w:eastAsia="es-ES"/>
    </w:rPr>
  </w:style>
  <w:style w:type="paragraph" w:customStyle="1" w:styleId="xl41">
    <w:name w:val="xl41"/>
    <w:basedOn w:val="DefaultStyle"/>
    <w:rsid w:val="00E85802"/>
    <w:pPr>
      <w:pBdr>
        <w:right w:val="single" w:sz="4" w:space="0" w:color="00000A"/>
      </w:pBdr>
      <w:spacing w:before="100" w:after="100"/>
      <w:textAlignment w:val="top"/>
    </w:pPr>
    <w:rPr>
      <w:rFonts w:ascii="Arial" w:eastAsia="Arial Unicode MS" w:hAnsi="Arial" w:cs="Arial"/>
      <w:sz w:val="12"/>
      <w:szCs w:val="12"/>
      <w:lang w:eastAsia="es-ES"/>
    </w:rPr>
  </w:style>
  <w:style w:type="paragraph" w:customStyle="1" w:styleId="xl42">
    <w:name w:val="xl42"/>
    <w:basedOn w:val="DefaultStyle"/>
    <w:rsid w:val="00E85802"/>
    <w:pPr>
      <w:pBdr>
        <w:left w:val="single" w:sz="4" w:space="0" w:color="00000A"/>
        <w:bottom w:val="single" w:sz="4" w:space="0" w:color="00000A"/>
      </w:pBdr>
      <w:spacing w:before="100" w:after="100"/>
      <w:textAlignment w:val="top"/>
    </w:pPr>
    <w:rPr>
      <w:rFonts w:ascii="Arial" w:eastAsia="Arial Unicode MS" w:hAnsi="Arial" w:cs="Arial"/>
      <w:sz w:val="12"/>
      <w:szCs w:val="12"/>
      <w:lang w:eastAsia="es-ES"/>
    </w:rPr>
  </w:style>
  <w:style w:type="paragraph" w:customStyle="1" w:styleId="xl43">
    <w:name w:val="xl43"/>
    <w:basedOn w:val="DefaultStyle"/>
    <w:rsid w:val="00E85802"/>
    <w:pPr>
      <w:pBdr>
        <w:bottom w:val="single" w:sz="4" w:space="0" w:color="00000A"/>
      </w:pBdr>
      <w:spacing w:before="100" w:after="100"/>
      <w:textAlignment w:val="top"/>
    </w:pPr>
    <w:rPr>
      <w:rFonts w:ascii="Arial" w:eastAsia="Arial Unicode MS" w:hAnsi="Arial" w:cs="Arial"/>
      <w:sz w:val="12"/>
      <w:szCs w:val="12"/>
      <w:lang w:eastAsia="es-ES"/>
    </w:rPr>
  </w:style>
  <w:style w:type="paragraph" w:customStyle="1" w:styleId="WW-Sangra2detindependiente">
    <w:name w:val="WW-Sangría 2 de t. independiente"/>
    <w:basedOn w:val="DefaultStyle"/>
    <w:rsid w:val="00E85802"/>
    <w:pPr>
      <w:ind w:left="284" w:hanging="284"/>
    </w:pPr>
    <w:rPr>
      <w:rFonts w:ascii="Arial Narrow" w:hAnsi="Arial Narrow" w:cs="Times New Roman"/>
      <w:sz w:val="28"/>
      <w:szCs w:val="20"/>
      <w:lang w:eastAsia="ar-SA"/>
    </w:rPr>
  </w:style>
  <w:style w:type="paragraph" w:customStyle="1" w:styleId="WW-Sangra3detindependiente">
    <w:name w:val="WW-Sangría 3 de t. independiente"/>
    <w:basedOn w:val="DefaultStyle"/>
    <w:rsid w:val="00E85802"/>
    <w:pPr>
      <w:ind w:left="705" w:hanging="705"/>
      <w:jc w:val="both"/>
    </w:pPr>
    <w:rPr>
      <w:rFonts w:ascii="Arial Narrow" w:hAnsi="Arial Narrow" w:cs="Times New Roman"/>
      <w:szCs w:val="20"/>
      <w:lang w:eastAsia="ar-SA"/>
    </w:rPr>
  </w:style>
  <w:style w:type="paragraph" w:customStyle="1" w:styleId="xl48">
    <w:name w:val="xl48"/>
    <w:basedOn w:val="DefaultStyle"/>
    <w:rsid w:val="00E85802"/>
    <w:pPr>
      <w:pBdr>
        <w:left w:val="single" w:sz="4" w:space="0" w:color="00000A"/>
        <w:bottom w:val="single" w:sz="4" w:space="0" w:color="00000A"/>
        <w:right w:val="single" w:sz="4" w:space="0" w:color="00000A"/>
      </w:pBdr>
      <w:spacing w:before="100" w:after="100"/>
      <w:jc w:val="center"/>
    </w:pPr>
    <w:rPr>
      <w:rFonts w:ascii="Arial" w:eastAsia="Arial Unicode MS" w:hAnsi="Arial" w:cs="Arial"/>
      <w:lang w:eastAsia="es-ES"/>
    </w:rPr>
  </w:style>
  <w:style w:type="paragraph" w:customStyle="1" w:styleId="xl22">
    <w:name w:val="xl22"/>
    <w:basedOn w:val="DefaultStyle"/>
    <w:rsid w:val="00E85802"/>
    <w:pPr>
      <w:spacing w:before="100" w:after="100"/>
      <w:jc w:val="center"/>
    </w:pPr>
    <w:rPr>
      <w:rFonts w:ascii="Arial" w:eastAsia="Arial Unicode MS" w:hAnsi="Arial" w:cs="Arial"/>
      <w:b/>
      <w:bCs/>
      <w:sz w:val="16"/>
      <w:szCs w:val="16"/>
      <w:lang w:eastAsia="es-ES"/>
    </w:rPr>
  </w:style>
  <w:style w:type="paragraph" w:customStyle="1" w:styleId="xl23">
    <w:name w:val="xl23"/>
    <w:basedOn w:val="DefaultStyle"/>
    <w:rsid w:val="00E85802"/>
    <w:pPr>
      <w:spacing w:before="100" w:after="100"/>
    </w:pPr>
    <w:rPr>
      <w:rFonts w:ascii="Arial" w:eastAsia="Arial Unicode MS" w:hAnsi="Arial" w:cs="Arial"/>
      <w:sz w:val="16"/>
      <w:szCs w:val="16"/>
      <w:lang w:eastAsia="es-ES"/>
    </w:rPr>
  </w:style>
  <w:style w:type="paragraph" w:customStyle="1" w:styleId="xl45">
    <w:name w:val="xl45"/>
    <w:basedOn w:val="DefaultStyle"/>
    <w:rsid w:val="00E85802"/>
    <w:pPr>
      <w:spacing w:before="100" w:after="100"/>
      <w:jc w:val="center"/>
    </w:pPr>
    <w:rPr>
      <w:rFonts w:ascii="Arial" w:eastAsia="Arial Unicode MS" w:hAnsi="Arial" w:cs="Arial"/>
      <w:b/>
      <w:bCs/>
      <w:sz w:val="10"/>
      <w:szCs w:val="10"/>
      <w:lang w:eastAsia="es-ES"/>
    </w:rPr>
  </w:style>
  <w:style w:type="paragraph" w:customStyle="1" w:styleId="xl46">
    <w:name w:val="xl46"/>
    <w:basedOn w:val="DefaultStyle"/>
    <w:rsid w:val="00E85802"/>
    <w:pPr>
      <w:pBdr>
        <w:left w:val="single" w:sz="8" w:space="0" w:color="00000A"/>
        <w:bottom w:val="single" w:sz="8" w:space="0" w:color="00000A"/>
        <w:right w:val="single" w:sz="8" w:space="0" w:color="00000A"/>
      </w:pBdr>
      <w:spacing w:before="100" w:after="100"/>
      <w:jc w:val="center"/>
      <w:textAlignment w:val="center"/>
    </w:pPr>
    <w:rPr>
      <w:rFonts w:ascii="Arial" w:eastAsia="Arial Unicode MS" w:hAnsi="Arial" w:cs="Arial"/>
      <w:b/>
      <w:bCs/>
      <w:sz w:val="10"/>
      <w:szCs w:val="10"/>
      <w:lang w:eastAsia="es-ES"/>
    </w:rPr>
  </w:style>
  <w:style w:type="paragraph" w:customStyle="1" w:styleId="xl47">
    <w:name w:val="xl47"/>
    <w:basedOn w:val="DefaultStyle"/>
    <w:rsid w:val="00E85802"/>
    <w:pPr>
      <w:pBdr>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49">
    <w:name w:val="xl49"/>
    <w:basedOn w:val="DefaultStyle"/>
    <w:rsid w:val="00E85802"/>
    <w:pPr>
      <w:pBdr>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0">
    <w:name w:val="xl50"/>
    <w:basedOn w:val="DefaultStyle"/>
    <w:rsid w:val="00E85802"/>
    <w:pPr>
      <w:pBdr>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1">
    <w:name w:val="xl51"/>
    <w:basedOn w:val="DefaultStyle"/>
    <w:rsid w:val="00E85802"/>
    <w:pPr>
      <w:pBdr>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2">
    <w:name w:val="xl52"/>
    <w:basedOn w:val="DefaultStyle"/>
    <w:rsid w:val="00E85802"/>
    <w:pPr>
      <w:pBdr>
        <w:top w:val="single" w:sz="4" w:space="0" w:color="00000A"/>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3">
    <w:name w:val="xl53"/>
    <w:basedOn w:val="DefaultStyle"/>
    <w:rsid w:val="00E85802"/>
    <w:pPr>
      <w:pBdr>
        <w:top w:val="single" w:sz="4" w:space="0" w:color="00000A"/>
        <w:left w:val="single" w:sz="4" w:space="0" w:color="00000A"/>
        <w:bottom w:val="single" w:sz="4" w:space="0" w:color="00000A"/>
        <w:right w:val="single" w:sz="4" w:space="0" w:color="00000A"/>
      </w:pBdr>
      <w:spacing w:before="100" w:after="100"/>
      <w:jc w:val="center"/>
    </w:pPr>
    <w:rPr>
      <w:rFonts w:ascii="Arial" w:eastAsia="Arial Unicode MS" w:hAnsi="Arial" w:cs="Arial"/>
      <w:sz w:val="10"/>
      <w:szCs w:val="10"/>
      <w:lang w:eastAsia="es-ES"/>
    </w:rPr>
  </w:style>
  <w:style w:type="paragraph" w:customStyle="1" w:styleId="xl54">
    <w:name w:val="xl54"/>
    <w:basedOn w:val="DefaultStyle"/>
    <w:rsid w:val="00E85802"/>
    <w:pPr>
      <w:pBdr>
        <w:left w:val="single" w:sz="8" w:space="0" w:color="00000A"/>
        <w:bottom w:val="single" w:sz="8" w:space="0" w:color="00000A"/>
        <w:right w:val="single" w:sz="8" w:space="0" w:color="00000A"/>
      </w:pBdr>
      <w:spacing w:before="100" w:after="100"/>
      <w:jc w:val="center"/>
    </w:pPr>
    <w:rPr>
      <w:rFonts w:ascii="Arial" w:eastAsia="Arial Unicode MS" w:hAnsi="Arial" w:cs="Arial"/>
      <w:b/>
      <w:bCs/>
      <w:sz w:val="10"/>
      <w:szCs w:val="10"/>
      <w:lang w:eastAsia="es-ES"/>
    </w:rPr>
  </w:style>
  <w:style w:type="paragraph" w:customStyle="1" w:styleId="xl55">
    <w:name w:val="xl55"/>
    <w:basedOn w:val="DefaultStyle"/>
    <w:rsid w:val="00E85802"/>
    <w:pPr>
      <w:spacing w:before="100" w:after="100"/>
    </w:pPr>
    <w:rPr>
      <w:rFonts w:ascii="Arial" w:eastAsia="Arial Unicode MS" w:hAnsi="Arial" w:cs="Arial"/>
      <w:sz w:val="10"/>
      <w:szCs w:val="10"/>
      <w:lang w:eastAsia="es-ES"/>
    </w:rPr>
  </w:style>
  <w:style w:type="paragraph" w:customStyle="1" w:styleId="xl56">
    <w:name w:val="xl56"/>
    <w:basedOn w:val="DefaultStyle"/>
    <w:rsid w:val="00E85802"/>
    <w:pPr>
      <w:spacing w:before="100" w:after="100"/>
    </w:pPr>
    <w:rPr>
      <w:rFonts w:ascii="Arial" w:eastAsia="Arial Unicode MS" w:hAnsi="Arial" w:cs="Arial"/>
      <w:color w:val="FF0000"/>
      <w:sz w:val="10"/>
      <w:szCs w:val="10"/>
      <w:lang w:eastAsia="es-ES"/>
    </w:rPr>
  </w:style>
  <w:style w:type="paragraph" w:customStyle="1" w:styleId="xl57">
    <w:name w:val="xl57"/>
    <w:basedOn w:val="DefaultStyle"/>
    <w:rsid w:val="00E85802"/>
    <w:pPr>
      <w:spacing w:before="100" w:after="100"/>
    </w:pPr>
    <w:rPr>
      <w:rFonts w:ascii="Arial" w:eastAsia="Arial Unicode MS" w:hAnsi="Arial" w:cs="Arial"/>
      <w:b/>
      <w:bCs/>
      <w:color w:val="0000FF"/>
      <w:sz w:val="10"/>
      <w:szCs w:val="10"/>
      <w:lang w:eastAsia="es-ES"/>
    </w:rPr>
  </w:style>
  <w:style w:type="paragraph" w:customStyle="1" w:styleId="xl58">
    <w:name w:val="xl58"/>
    <w:basedOn w:val="DefaultStyle"/>
    <w:rsid w:val="00E85802"/>
    <w:pPr>
      <w:spacing w:before="100" w:after="100"/>
    </w:pPr>
    <w:rPr>
      <w:rFonts w:ascii="Arial" w:eastAsia="Arial Unicode MS" w:hAnsi="Arial" w:cs="Arial"/>
      <w:sz w:val="10"/>
      <w:szCs w:val="10"/>
      <w:lang w:eastAsia="es-ES"/>
    </w:rPr>
  </w:style>
  <w:style w:type="paragraph" w:customStyle="1" w:styleId="xl59">
    <w:name w:val="xl59"/>
    <w:basedOn w:val="DefaultStyle"/>
    <w:rsid w:val="00E85802"/>
    <w:pPr>
      <w:spacing w:before="100" w:after="100"/>
      <w:jc w:val="center"/>
    </w:pPr>
    <w:rPr>
      <w:rFonts w:ascii="Arial" w:eastAsia="Arial Unicode MS" w:hAnsi="Arial" w:cs="Arial"/>
      <w:sz w:val="10"/>
      <w:szCs w:val="10"/>
      <w:lang w:eastAsia="es-ES"/>
    </w:rPr>
  </w:style>
  <w:style w:type="paragraph" w:customStyle="1" w:styleId="xl60">
    <w:name w:val="xl60"/>
    <w:basedOn w:val="DefaultStyle"/>
    <w:rsid w:val="00E85802"/>
    <w:pPr>
      <w:pBdr>
        <w:bottom w:val="single" w:sz="4" w:space="0" w:color="00000A"/>
      </w:pBdr>
      <w:spacing w:before="100" w:after="100"/>
    </w:pPr>
    <w:rPr>
      <w:rFonts w:ascii="Arial" w:eastAsia="Arial Unicode MS" w:hAnsi="Arial" w:cs="Arial"/>
      <w:sz w:val="10"/>
      <w:szCs w:val="10"/>
      <w:lang w:eastAsia="es-ES"/>
    </w:rPr>
  </w:style>
  <w:style w:type="paragraph" w:customStyle="1" w:styleId="xl61">
    <w:name w:val="xl61"/>
    <w:basedOn w:val="DefaultStyle"/>
    <w:rsid w:val="00E85802"/>
    <w:pPr>
      <w:pBdr>
        <w:bottom w:val="single" w:sz="4" w:space="0" w:color="00000A"/>
      </w:pBdr>
      <w:spacing w:before="100" w:after="100"/>
    </w:pPr>
    <w:rPr>
      <w:rFonts w:ascii="Arial" w:eastAsia="Arial Unicode MS" w:hAnsi="Arial" w:cs="Arial"/>
      <w:sz w:val="10"/>
      <w:szCs w:val="10"/>
      <w:lang w:eastAsia="es-ES"/>
    </w:rPr>
  </w:style>
  <w:style w:type="paragraph" w:customStyle="1" w:styleId="xl62">
    <w:name w:val="xl62"/>
    <w:basedOn w:val="DefaultStyle"/>
    <w:rsid w:val="00E85802"/>
    <w:pPr>
      <w:pBdr>
        <w:bottom w:val="single" w:sz="4" w:space="0" w:color="00000A"/>
      </w:pBdr>
      <w:spacing w:before="100" w:after="100"/>
      <w:jc w:val="center"/>
    </w:pPr>
    <w:rPr>
      <w:rFonts w:ascii="Arial" w:eastAsia="Arial Unicode MS" w:hAnsi="Arial" w:cs="Arial"/>
      <w:sz w:val="10"/>
      <w:szCs w:val="10"/>
      <w:lang w:eastAsia="es-ES"/>
    </w:rPr>
  </w:style>
  <w:style w:type="paragraph" w:customStyle="1" w:styleId="romanos0">
    <w:name w:val="romanos"/>
    <w:basedOn w:val="DefaultStyle"/>
    <w:rsid w:val="00E85802"/>
    <w:pPr>
      <w:spacing w:before="100" w:after="100"/>
    </w:pPr>
    <w:rPr>
      <w:rFonts w:ascii="Times New Roman" w:hAnsi="Times New Roman" w:cs="Times New Roman"/>
      <w:lang w:eastAsia="es-ES"/>
    </w:rPr>
  </w:style>
  <w:style w:type="paragraph" w:customStyle="1" w:styleId="Cuadrculamedia21">
    <w:name w:val="Cuadrícula media 21"/>
    <w:qFormat/>
    <w:rsid w:val="00E85802"/>
    <w:pPr>
      <w:suppressAutoHyphens/>
      <w:overflowPunct w:val="0"/>
      <w:spacing w:line="100" w:lineRule="atLeast"/>
    </w:pPr>
    <w:rPr>
      <w:color w:val="00000A"/>
    </w:rPr>
  </w:style>
  <w:style w:type="paragraph" w:customStyle="1" w:styleId="NormalArial">
    <w:name w:val="Normal + Arial"/>
    <w:aliases w:val="11 pt"/>
    <w:basedOn w:val="DefaultStyle"/>
    <w:rsid w:val="00E85802"/>
    <w:pPr>
      <w:jc w:val="both"/>
    </w:pPr>
    <w:rPr>
      <w:rFonts w:ascii="Times New Roman" w:hAnsi="Times New Roman" w:cs="Times New Roman"/>
      <w:b/>
    </w:rPr>
  </w:style>
  <w:style w:type="paragraph" w:customStyle="1" w:styleId="EPM4Artculo">
    <w:name w:val="EPM4 Artículo"/>
    <w:basedOn w:val="DefaultStyle"/>
    <w:rsid w:val="00E85802"/>
    <w:pPr>
      <w:tabs>
        <w:tab w:val="left" w:pos="2830"/>
        <w:tab w:val="left" w:pos="3964"/>
      </w:tabs>
      <w:spacing w:after="100"/>
      <w:ind w:left="576" w:hanging="144"/>
    </w:pPr>
    <w:rPr>
      <w:rFonts w:ascii="Arial" w:hAnsi="Arial" w:cs="Arial"/>
      <w:sz w:val="20"/>
      <w:szCs w:val="20"/>
      <w:lang w:val="en-US" w:eastAsia="es-ES"/>
    </w:rPr>
  </w:style>
  <w:style w:type="paragraph" w:customStyle="1" w:styleId="Normal0">
    <w:name w:val="[Normal]"/>
    <w:rsid w:val="00E85802"/>
    <w:pPr>
      <w:suppressAutoHyphens/>
      <w:overflowPunct w:val="0"/>
      <w:spacing w:line="100" w:lineRule="atLeast"/>
    </w:pPr>
    <w:rPr>
      <w:rFonts w:ascii="Arial" w:eastAsia="Arial" w:hAnsi="Arial" w:cs="Arial"/>
      <w:color w:val="00000A"/>
      <w:sz w:val="24"/>
    </w:rPr>
  </w:style>
  <w:style w:type="paragraph" w:customStyle="1" w:styleId="ecxmsobodytext">
    <w:name w:val="ecxmsobodytext"/>
    <w:basedOn w:val="DefaultStyle"/>
    <w:rsid w:val="00E85802"/>
    <w:pPr>
      <w:spacing w:after="324"/>
    </w:pPr>
    <w:rPr>
      <w:rFonts w:ascii="Times New Roman" w:hAnsi="Times New Roman" w:cs="Times New Roman"/>
    </w:rPr>
  </w:style>
  <w:style w:type="paragraph" w:styleId="Cita">
    <w:name w:val="Quote"/>
    <w:basedOn w:val="DefaultStyle"/>
    <w:link w:val="CitaCar1"/>
    <w:uiPriority w:val="29"/>
    <w:qFormat/>
    <w:rsid w:val="00E85802"/>
    <w:rPr>
      <w:rFonts w:ascii="Century Gothic" w:eastAsia="Lucida Sans Unicode" w:hAnsi="Century Gothic" w:cs="Times New Roman"/>
      <w:color w:val="AA0042"/>
      <w:sz w:val="20"/>
      <w:szCs w:val="20"/>
      <w:lang w:val="en-US" w:eastAsia="en-US" w:bidi="en-US"/>
    </w:rPr>
  </w:style>
  <w:style w:type="character" w:customStyle="1" w:styleId="CitaCar1">
    <w:name w:val="Cita Car1"/>
    <w:basedOn w:val="Fuentedeprrafopredeter"/>
    <w:link w:val="Cita"/>
    <w:uiPriority w:val="29"/>
    <w:rsid w:val="00E85802"/>
    <w:rPr>
      <w:rFonts w:ascii="Century Gothic" w:eastAsia="Lucida Sans Unicode" w:hAnsi="Century Gothic"/>
      <w:color w:val="AA0042"/>
      <w:lang w:val="en-US" w:eastAsia="en-US" w:bidi="en-US"/>
    </w:rPr>
  </w:style>
  <w:style w:type="character" w:customStyle="1" w:styleId="CitadestacadaCar1">
    <w:name w:val="Cita destacada Car1"/>
    <w:uiPriority w:val="30"/>
    <w:rsid w:val="00E85802"/>
    <w:rPr>
      <w:rFonts w:ascii="Lucida Sans Unicode" w:eastAsia="Times New Roman" w:hAnsi="Lucida Sans Unicode"/>
      <w:b/>
      <w:bCs/>
      <w:i/>
      <w:iCs/>
      <w:color w:val="E40059"/>
      <w:lang w:val="en-US" w:eastAsia="en-US" w:bidi="en-US"/>
    </w:rPr>
  </w:style>
  <w:style w:type="paragraph" w:customStyle="1" w:styleId="ContentsHeading">
    <w:name w:val="Contents Heading"/>
    <w:basedOn w:val="Ttulo1"/>
    <w:rsid w:val="00E85802"/>
    <w:pPr>
      <w:pBdr>
        <w:top w:val="single" w:sz="8" w:space="0" w:color="E40059"/>
        <w:left w:val="single" w:sz="8" w:space="0" w:color="E40059"/>
        <w:bottom w:val="single" w:sz="8" w:space="0" w:color="E40059"/>
        <w:right w:val="single" w:sz="8" w:space="0" w:color="E40059"/>
      </w:pBdr>
      <w:shd w:val="clear" w:color="auto" w:fill="FFC6DC"/>
      <w:suppressAutoHyphens/>
      <w:overflowPunct w:val="0"/>
      <w:spacing w:before="480" w:after="100" w:line="266" w:lineRule="auto"/>
      <w:contextualSpacing/>
      <w:jc w:val="left"/>
    </w:pPr>
    <w:rPr>
      <w:rFonts w:ascii="Lucida Sans Unicode" w:hAnsi="Lucida Sans Unicode"/>
      <w:bCs/>
      <w:i/>
      <w:iCs/>
      <w:color w:val="71002C"/>
      <w:sz w:val="22"/>
      <w:szCs w:val="22"/>
      <w:lang w:val="en-US" w:eastAsia="es-MX" w:bidi="en-US"/>
    </w:rPr>
  </w:style>
  <w:style w:type="paragraph" w:customStyle="1" w:styleId="yiv309846856msonormal">
    <w:name w:val="yiv309846856msonormal"/>
    <w:basedOn w:val="DefaultStyle"/>
    <w:rsid w:val="00E85802"/>
    <w:pPr>
      <w:spacing w:before="100" w:after="100"/>
    </w:pPr>
    <w:rPr>
      <w:rFonts w:ascii="Times New Roman" w:hAnsi="Times New Roman" w:cs="Times New Roman"/>
    </w:rPr>
  </w:style>
  <w:style w:type="paragraph" w:customStyle="1" w:styleId="yiv309846856msobodytext">
    <w:name w:val="yiv309846856msobodytext"/>
    <w:basedOn w:val="DefaultStyle"/>
    <w:rsid w:val="00E85802"/>
    <w:pPr>
      <w:spacing w:before="100" w:after="100"/>
    </w:pPr>
    <w:rPr>
      <w:rFonts w:ascii="Times New Roman" w:hAnsi="Times New Roman" w:cs="Times New Roman"/>
    </w:rPr>
  </w:style>
  <w:style w:type="paragraph" w:customStyle="1" w:styleId="TableContents">
    <w:name w:val="Table Contents"/>
    <w:basedOn w:val="DefaultStyle"/>
    <w:rsid w:val="00E85802"/>
  </w:style>
  <w:style w:type="character" w:customStyle="1" w:styleId="TextoindependienteCar2">
    <w:name w:val="Texto independiente Car2"/>
    <w:uiPriority w:val="99"/>
    <w:semiHidden/>
    <w:rsid w:val="00E85802"/>
    <w:rPr>
      <w:rFonts w:eastAsia="Times New Roman"/>
      <w:lang w:eastAsia="es-MX"/>
    </w:rPr>
  </w:style>
  <w:style w:type="table" w:styleId="Tablaelegante">
    <w:name w:val="Table Elegant"/>
    <w:basedOn w:val="Tablanormal"/>
    <w:rsid w:val="00E85802"/>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aludoCar2">
    <w:name w:val="Saludo Car2"/>
    <w:uiPriority w:val="99"/>
    <w:semiHidden/>
    <w:rsid w:val="00E85802"/>
    <w:rPr>
      <w:sz w:val="22"/>
      <w:szCs w:val="22"/>
      <w:lang w:eastAsia="en-US"/>
    </w:rPr>
  </w:style>
  <w:style w:type="paragraph" w:customStyle="1" w:styleId="Cuadrculamedia22">
    <w:name w:val="Cuadrícula media 22"/>
    <w:link w:val="Cuadrculamedia2Car"/>
    <w:qFormat/>
    <w:rsid w:val="00E85802"/>
  </w:style>
  <w:style w:type="character" w:customStyle="1" w:styleId="TextoindependienteprimerasangraCar1">
    <w:name w:val="Texto independiente primera sangría Car1"/>
    <w:uiPriority w:val="99"/>
    <w:semiHidden/>
    <w:rsid w:val="00E85802"/>
    <w:rPr>
      <w:rFonts w:ascii="Arial" w:eastAsia="Times New Roman" w:hAnsi="Arial"/>
      <w:sz w:val="22"/>
      <w:szCs w:val="22"/>
      <w:lang w:val="es-ES" w:eastAsia="en-US"/>
    </w:rPr>
  </w:style>
  <w:style w:type="paragraph" w:customStyle="1" w:styleId="TextoJust">
    <w:name w:val="TextoJust"/>
    <w:basedOn w:val="Normal"/>
    <w:link w:val="TextoJustCar"/>
    <w:rsid w:val="00E85802"/>
    <w:pPr>
      <w:spacing w:after="0" w:line="240" w:lineRule="auto"/>
      <w:jc w:val="both"/>
    </w:pPr>
    <w:rPr>
      <w:rFonts w:ascii="Arial" w:eastAsia="Times New Roman" w:hAnsi="Arial"/>
      <w:sz w:val="24"/>
      <w:szCs w:val="24"/>
      <w:lang w:val="es-ES" w:eastAsia="es-ES"/>
    </w:rPr>
  </w:style>
  <w:style w:type="paragraph" w:customStyle="1" w:styleId="TexJustNeg">
    <w:name w:val="TexJustNeg"/>
    <w:basedOn w:val="TextoJust"/>
    <w:next w:val="TextoJust"/>
    <w:link w:val="TexJustNegCar"/>
    <w:rsid w:val="00E85802"/>
    <w:rPr>
      <w:b/>
      <w:bCs/>
    </w:rPr>
  </w:style>
  <w:style w:type="paragraph" w:customStyle="1" w:styleId="CM1">
    <w:name w:val="CM1"/>
    <w:basedOn w:val="Default"/>
    <w:next w:val="Default"/>
    <w:uiPriority w:val="99"/>
    <w:rsid w:val="00E85802"/>
    <w:rPr>
      <w:rFonts w:cs="Arial"/>
      <w:color w:val="auto"/>
    </w:rPr>
  </w:style>
  <w:style w:type="paragraph" w:customStyle="1" w:styleId="3PARRAFO">
    <w:name w:val="3. PARRAFO"/>
    <w:basedOn w:val="Normal"/>
    <w:qFormat/>
    <w:rsid w:val="00E85802"/>
    <w:pPr>
      <w:spacing w:after="120" w:line="240" w:lineRule="auto"/>
      <w:jc w:val="both"/>
    </w:pPr>
    <w:rPr>
      <w:rFonts w:ascii="Arial" w:eastAsia="Times New Roman" w:hAnsi="Arial" w:cs="Arial"/>
      <w:sz w:val="24"/>
      <w:szCs w:val="24"/>
      <w:lang w:val="es-ES" w:eastAsia="es-MX"/>
    </w:rPr>
  </w:style>
  <w:style w:type="paragraph" w:customStyle="1" w:styleId="western">
    <w:name w:val="western"/>
    <w:basedOn w:val="Normal"/>
    <w:rsid w:val="00E85802"/>
    <w:pPr>
      <w:spacing w:before="100" w:beforeAutospacing="1" w:after="0" w:line="240" w:lineRule="auto"/>
      <w:jc w:val="both"/>
    </w:pPr>
    <w:rPr>
      <w:rFonts w:ascii="Arial" w:eastAsia="Times New Roman" w:hAnsi="Arial" w:cs="Arial"/>
      <w:b/>
      <w:bCs/>
      <w:sz w:val="28"/>
      <w:szCs w:val="28"/>
      <w:lang w:eastAsia="es-MX"/>
    </w:rPr>
  </w:style>
  <w:style w:type="character" w:customStyle="1" w:styleId="TextoJustCar">
    <w:name w:val="TextoJust Car"/>
    <w:link w:val="TextoJust"/>
    <w:rsid w:val="00E85802"/>
    <w:rPr>
      <w:rFonts w:ascii="Arial" w:eastAsia="Times New Roman" w:hAnsi="Arial"/>
      <w:sz w:val="24"/>
      <w:szCs w:val="24"/>
      <w:lang w:val="es-ES" w:eastAsia="es-ES"/>
    </w:rPr>
  </w:style>
  <w:style w:type="paragraph" w:customStyle="1" w:styleId="Tit1Portada">
    <w:name w:val="Tit1Portada"/>
    <w:basedOn w:val="TextoJust"/>
    <w:next w:val="TextoJust"/>
    <w:rsid w:val="00E85802"/>
    <w:pPr>
      <w:jc w:val="center"/>
    </w:pPr>
    <w:rPr>
      <w:b/>
      <w:smallCaps/>
      <w:color w:val="999999"/>
      <w:sz w:val="40"/>
      <w:szCs w:val="40"/>
    </w:rPr>
  </w:style>
  <w:style w:type="paragraph" w:customStyle="1" w:styleId="PaginaCont">
    <w:name w:val="PaginaCont"/>
    <w:basedOn w:val="TextoJust"/>
    <w:next w:val="TextoJust"/>
    <w:rsid w:val="00E85802"/>
    <w:pPr>
      <w:spacing w:before="120" w:after="120"/>
      <w:ind w:right="397"/>
      <w:jc w:val="right"/>
    </w:pPr>
    <w:rPr>
      <w:sz w:val="36"/>
    </w:rPr>
  </w:style>
  <w:style w:type="paragraph" w:customStyle="1" w:styleId="IndiceCont">
    <w:name w:val="IndiceCont"/>
    <w:basedOn w:val="TextoJust"/>
    <w:next w:val="TextoJust"/>
    <w:rsid w:val="00E85802"/>
    <w:pPr>
      <w:numPr>
        <w:numId w:val="11"/>
      </w:numPr>
      <w:tabs>
        <w:tab w:val="clear" w:pos="851"/>
        <w:tab w:val="num" w:pos="360"/>
      </w:tabs>
      <w:spacing w:before="120" w:after="120"/>
      <w:ind w:left="0" w:firstLine="0"/>
    </w:pPr>
    <w:rPr>
      <w:sz w:val="36"/>
    </w:rPr>
  </w:style>
  <w:style w:type="paragraph" w:customStyle="1" w:styleId="TextoCent">
    <w:name w:val="TextoCent"/>
    <w:basedOn w:val="TextoJust"/>
    <w:rsid w:val="00E85802"/>
    <w:pPr>
      <w:jc w:val="center"/>
    </w:pPr>
  </w:style>
  <w:style w:type="paragraph" w:customStyle="1" w:styleId="Tem1Doc">
    <w:name w:val="Tem1Doc"/>
    <w:basedOn w:val="TextoJust"/>
    <w:next w:val="TextoJust"/>
    <w:rsid w:val="00E85802"/>
    <w:pPr>
      <w:ind w:left="851" w:hanging="851"/>
    </w:pPr>
    <w:rPr>
      <w:b/>
      <w:bCs/>
      <w:sz w:val="40"/>
    </w:rPr>
  </w:style>
  <w:style w:type="paragraph" w:customStyle="1" w:styleId="TexDest1C">
    <w:name w:val="TexDest1C"/>
    <w:basedOn w:val="Normal"/>
    <w:rsid w:val="00E85802"/>
    <w:pPr>
      <w:spacing w:after="0" w:line="240" w:lineRule="auto"/>
      <w:ind w:left="567" w:right="567"/>
      <w:jc w:val="center"/>
    </w:pPr>
    <w:rPr>
      <w:rFonts w:ascii="Arial" w:eastAsia="Times New Roman" w:hAnsi="Arial"/>
      <w:b/>
      <w:bCs/>
      <w:iCs/>
      <w:sz w:val="36"/>
      <w:szCs w:val="24"/>
      <w:lang w:eastAsia="es-MX"/>
    </w:rPr>
  </w:style>
  <w:style w:type="character" w:customStyle="1" w:styleId="TexJustNegCar">
    <w:name w:val="TexJustNeg Car"/>
    <w:link w:val="TexJustNeg"/>
    <w:rsid w:val="00E85802"/>
    <w:rPr>
      <w:rFonts w:ascii="Arial" w:eastAsia="Times New Roman" w:hAnsi="Arial"/>
      <w:b/>
      <w:bCs/>
      <w:sz w:val="24"/>
      <w:szCs w:val="24"/>
      <w:lang w:val="es-ES" w:eastAsia="es-ES"/>
    </w:rPr>
  </w:style>
  <w:style w:type="character" w:customStyle="1" w:styleId="verdana112065b21">
    <w:name w:val="verdana11_2065b21"/>
    <w:rsid w:val="00E85802"/>
    <w:rPr>
      <w:rFonts w:ascii="Verdana" w:hAnsi="Verdana" w:hint="default"/>
      <w:color w:val="2065B2"/>
      <w:sz w:val="17"/>
      <w:szCs w:val="17"/>
    </w:rPr>
  </w:style>
  <w:style w:type="character" w:customStyle="1" w:styleId="estilo7estilo49estilo70">
    <w:name w:val="estilo7 estilo49 estilo70"/>
    <w:rsid w:val="00E85802"/>
  </w:style>
  <w:style w:type="character" w:customStyle="1" w:styleId="estilo701">
    <w:name w:val="estilo701"/>
    <w:rsid w:val="00E85802"/>
    <w:rPr>
      <w:color w:val="838383"/>
    </w:rPr>
  </w:style>
  <w:style w:type="character" w:customStyle="1" w:styleId="eacep">
    <w:name w:val="eacep"/>
    <w:rsid w:val="00E85802"/>
  </w:style>
  <w:style w:type="numbering" w:customStyle="1" w:styleId="Sinlista51">
    <w:name w:val="Sin lista51"/>
    <w:next w:val="Sinlista"/>
    <w:uiPriority w:val="99"/>
    <w:semiHidden/>
    <w:unhideWhenUsed/>
    <w:rsid w:val="00E85802"/>
  </w:style>
  <w:style w:type="numbering" w:customStyle="1" w:styleId="Sinlista61">
    <w:name w:val="Sin lista61"/>
    <w:next w:val="Sinlista"/>
    <w:uiPriority w:val="99"/>
    <w:semiHidden/>
    <w:unhideWhenUsed/>
    <w:rsid w:val="00E85802"/>
  </w:style>
  <w:style w:type="numbering" w:customStyle="1" w:styleId="Sinlista71">
    <w:name w:val="Sin lista71"/>
    <w:next w:val="Sinlista"/>
    <w:semiHidden/>
    <w:unhideWhenUsed/>
    <w:rsid w:val="00E85802"/>
  </w:style>
  <w:style w:type="table" w:customStyle="1" w:styleId="Tablaconcuadrcula311">
    <w:name w:val="Tabla con cuadrícula311"/>
    <w:basedOn w:val="Tablanormal"/>
    <w:next w:val="Tablaconcuadrcula"/>
    <w:rsid w:val="00E858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
    <w:name w:val="Lista clara - Énfasis 11"/>
    <w:basedOn w:val="Tablanormal"/>
    <w:rsid w:val="00E85802"/>
    <w:rPr>
      <w:rFonts w:ascii="Times New Roman" w:eastAsia="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aweb2">
    <w:name w:val="Table Web 2"/>
    <w:basedOn w:val="Tablanormal"/>
    <w:uiPriority w:val="99"/>
    <w:semiHidden/>
    <w:unhideWhenUsed/>
    <w:rsid w:val="00E8580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411">
    <w:name w:val="Tabla con cuadrícula411"/>
    <w:basedOn w:val="Tablanormal"/>
    <w:next w:val="Tablaconcuadrcula"/>
    <w:uiPriority w:val="59"/>
    <w:rsid w:val="00E85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85802"/>
  </w:style>
  <w:style w:type="table" w:customStyle="1" w:styleId="Tablaconcuadrcula511">
    <w:name w:val="Tabla con cuadrícula511"/>
    <w:basedOn w:val="Tablanormal"/>
    <w:next w:val="Tablaconcuadrcula"/>
    <w:uiPriority w:val="59"/>
    <w:rsid w:val="00E858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0">
    <w:name w:val="Sin lista10"/>
    <w:next w:val="Sinlista"/>
    <w:uiPriority w:val="99"/>
    <w:semiHidden/>
    <w:unhideWhenUsed/>
    <w:rsid w:val="00E85802"/>
  </w:style>
  <w:style w:type="table" w:customStyle="1" w:styleId="Tablaconcuadrcula611">
    <w:name w:val="Tabla con cuadrícula611"/>
    <w:basedOn w:val="Tablanormal"/>
    <w:next w:val="Tablaconcuadrcula"/>
    <w:uiPriority w:val="59"/>
    <w:rsid w:val="00E8580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11">
    <w:name w:val="Tabla con cuadrícula711"/>
    <w:basedOn w:val="Tablanormal"/>
    <w:next w:val="Tablaconcuadrcula"/>
    <w:uiPriority w:val="59"/>
    <w:rsid w:val="00E8580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E85802"/>
  </w:style>
  <w:style w:type="table" w:customStyle="1" w:styleId="Tablaconcuadrcula811">
    <w:name w:val="Tabla con cuadrícula811"/>
    <w:basedOn w:val="Tablanormal"/>
    <w:next w:val="Tablaconcuadrcula"/>
    <w:uiPriority w:val="59"/>
    <w:rsid w:val="00E8580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1">
    <w:name w:val="Sin lista211"/>
    <w:next w:val="Sinlista"/>
    <w:semiHidden/>
    <w:rsid w:val="00E85802"/>
  </w:style>
  <w:style w:type="numbering" w:customStyle="1" w:styleId="Sinlista311">
    <w:name w:val="Sin lista311"/>
    <w:next w:val="Sinlista"/>
    <w:semiHidden/>
    <w:rsid w:val="00E85802"/>
  </w:style>
  <w:style w:type="numbering" w:customStyle="1" w:styleId="Sinlista411">
    <w:name w:val="Sin lista411"/>
    <w:next w:val="Sinlista"/>
    <w:semiHidden/>
    <w:rsid w:val="00E85802"/>
  </w:style>
  <w:style w:type="table" w:customStyle="1" w:styleId="Tablaelegante1">
    <w:name w:val="Tabla elegante1"/>
    <w:basedOn w:val="Tablanormal"/>
    <w:next w:val="Tablaelegante"/>
    <w:rsid w:val="00E85802"/>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CarCar32">
    <w:name w:val="Car Car32"/>
    <w:rsid w:val="00E85802"/>
    <w:rPr>
      <w:rFonts w:ascii="Calibri" w:eastAsia="Times New Roman" w:hAnsi="Calibri" w:cs="Times New Roman"/>
      <w:b/>
      <w:bCs/>
      <w:i/>
      <w:iCs/>
      <w:sz w:val="26"/>
      <w:szCs w:val="26"/>
      <w:lang w:val="es-ES" w:eastAsia="es-ES"/>
    </w:rPr>
  </w:style>
  <w:style w:type="character" w:customStyle="1" w:styleId="CarCar31">
    <w:name w:val="Car Car31"/>
    <w:rsid w:val="00E85802"/>
    <w:rPr>
      <w:rFonts w:ascii="Verdana" w:hAnsi="Verdana" w:cs="Arial"/>
      <w:b/>
      <w:bCs/>
      <w:szCs w:val="24"/>
      <w:lang w:val="es-ES" w:eastAsia="en-US"/>
    </w:rPr>
  </w:style>
  <w:style w:type="character" w:customStyle="1" w:styleId="CarCar28">
    <w:name w:val="Car Car28"/>
    <w:rsid w:val="00E85802"/>
    <w:rPr>
      <w:rFonts w:ascii="Cambria" w:eastAsia="Times New Roman" w:hAnsi="Cambria" w:cs="Times New Roman"/>
      <w:bCs/>
      <w:sz w:val="22"/>
      <w:szCs w:val="22"/>
    </w:rPr>
  </w:style>
  <w:style w:type="character" w:customStyle="1" w:styleId="CarCarCar1">
    <w:name w:val="Car Car Car1"/>
    <w:rsid w:val="00E85802"/>
    <w:rPr>
      <w:rFonts w:ascii="Calibri" w:eastAsia="Calibri" w:hAnsi="Calibri"/>
      <w:b/>
      <w:bCs/>
      <w:lang w:eastAsia="en-US"/>
    </w:rPr>
  </w:style>
  <w:style w:type="character" w:customStyle="1" w:styleId="CarCar30">
    <w:name w:val="Car Car30"/>
    <w:rsid w:val="00E85802"/>
    <w:rPr>
      <w:rFonts w:ascii="Calibri" w:eastAsia="Times New Roman" w:hAnsi="Calibri" w:cs="Times New Roman"/>
      <w:bCs/>
      <w:sz w:val="24"/>
      <w:szCs w:val="24"/>
      <w:lang w:val="es-ES" w:eastAsia="es-ES"/>
    </w:rPr>
  </w:style>
  <w:style w:type="character" w:customStyle="1" w:styleId="CarCar29">
    <w:name w:val="Car Car29"/>
    <w:rsid w:val="00E85802"/>
    <w:rPr>
      <w:i/>
      <w:iCs/>
      <w:sz w:val="24"/>
      <w:szCs w:val="24"/>
      <w:lang w:val="es-ES_tradnl" w:eastAsia="es-ES"/>
    </w:rPr>
  </w:style>
  <w:style w:type="table" w:customStyle="1" w:styleId="Tablaconcuadrcula911">
    <w:name w:val="Tabla con cuadrícula911"/>
    <w:basedOn w:val="Tablanormal"/>
    <w:next w:val="Tablaconcuadrcula"/>
    <w:uiPriority w:val="59"/>
    <w:rsid w:val="00E8580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semiHidden/>
    <w:rsid w:val="00E85802"/>
  </w:style>
  <w:style w:type="numbering" w:customStyle="1" w:styleId="Sinlista32">
    <w:name w:val="Sin lista32"/>
    <w:next w:val="Sinlista"/>
    <w:semiHidden/>
    <w:rsid w:val="00E85802"/>
  </w:style>
  <w:style w:type="numbering" w:customStyle="1" w:styleId="Sinlista42">
    <w:name w:val="Sin lista42"/>
    <w:next w:val="Sinlista"/>
    <w:semiHidden/>
    <w:rsid w:val="00E85802"/>
  </w:style>
  <w:style w:type="table" w:customStyle="1" w:styleId="Tablaelegante2">
    <w:name w:val="Tabla elegante2"/>
    <w:basedOn w:val="Tablanormal"/>
    <w:next w:val="Tablaelegante"/>
    <w:rsid w:val="00E85802"/>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Sinlista16">
    <w:name w:val="Sin lista16"/>
    <w:next w:val="Sinlista"/>
    <w:uiPriority w:val="99"/>
    <w:semiHidden/>
    <w:unhideWhenUsed/>
    <w:rsid w:val="00E85802"/>
  </w:style>
  <w:style w:type="table" w:customStyle="1" w:styleId="Tablaconcuadrcula1011">
    <w:name w:val="Tabla con cuadrícula1011"/>
    <w:basedOn w:val="Tablanormal"/>
    <w:next w:val="Tablaconcuadrcula"/>
    <w:uiPriority w:val="59"/>
    <w:rsid w:val="00E8580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7">
    <w:name w:val="Sin lista17"/>
    <w:next w:val="Sinlista"/>
    <w:uiPriority w:val="99"/>
    <w:semiHidden/>
    <w:unhideWhenUsed/>
    <w:rsid w:val="00E85802"/>
  </w:style>
  <w:style w:type="table" w:customStyle="1" w:styleId="Tablaconcuadrcula1211">
    <w:name w:val="Tabla con cuadrícula1211"/>
    <w:basedOn w:val="Tablanormal"/>
    <w:next w:val="Tablaconcuadrcula"/>
    <w:uiPriority w:val="59"/>
    <w:rsid w:val="00E8580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8">
    <w:name w:val="Sin lista18"/>
    <w:next w:val="Sinlista"/>
    <w:semiHidden/>
    <w:rsid w:val="00E85802"/>
  </w:style>
  <w:style w:type="numbering" w:customStyle="1" w:styleId="Sinlista23">
    <w:name w:val="Sin lista23"/>
    <w:next w:val="Sinlista"/>
    <w:semiHidden/>
    <w:rsid w:val="00E85802"/>
  </w:style>
  <w:style w:type="numbering" w:customStyle="1" w:styleId="Sinlista33">
    <w:name w:val="Sin lista33"/>
    <w:next w:val="Sinlista"/>
    <w:semiHidden/>
    <w:rsid w:val="00E85802"/>
  </w:style>
  <w:style w:type="numbering" w:customStyle="1" w:styleId="Sinlista43">
    <w:name w:val="Sin lista43"/>
    <w:next w:val="Sinlista"/>
    <w:semiHidden/>
    <w:rsid w:val="00E85802"/>
  </w:style>
  <w:style w:type="table" w:customStyle="1" w:styleId="Tablaelegante3">
    <w:name w:val="Tabla elegante3"/>
    <w:basedOn w:val="Tablanormal"/>
    <w:next w:val="Tablaelegante"/>
    <w:rsid w:val="00E85802"/>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Sinlista19">
    <w:name w:val="Sin lista19"/>
    <w:next w:val="Sinlista"/>
    <w:uiPriority w:val="99"/>
    <w:semiHidden/>
    <w:unhideWhenUsed/>
    <w:rsid w:val="00E85802"/>
  </w:style>
  <w:style w:type="table" w:customStyle="1" w:styleId="Tablaconcuadrcula1311">
    <w:name w:val="Tabla con cuadrícula1311"/>
    <w:basedOn w:val="Tablanormal"/>
    <w:next w:val="Tablaconcuadrcula"/>
    <w:uiPriority w:val="59"/>
    <w:rsid w:val="00E8580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0">
    <w:name w:val="Sin lista110"/>
    <w:next w:val="Sinlista"/>
    <w:semiHidden/>
    <w:rsid w:val="00E85802"/>
  </w:style>
  <w:style w:type="numbering" w:customStyle="1" w:styleId="Sinlista24">
    <w:name w:val="Sin lista24"/>
    <w:next w:val="Sinlista"/>
    <w:semiHidden/>
    <w:rsid w:val="00E85802"/>
  </w:style>
  <w:style w:type="numbering" w:customStyle="1" w:styleId="Sinlista34">
    <w:name w:val="Sin lista34"/>
    <w:next w:val="Sinlista"/>
    <w:semiHidden/>
    <w:rsid w:val="00E85802"/>
  </w:style>
  <w:style w:type="numbering" w:customStyle="1" w:styleId="Sinlista44">
    <w:name w:val="Sin lista44"/>
    <w:next w:val="Sinlista"/>
    <w:semiHidden/>
    <w:rsid w:val="00E85802"/>
  </w:style>
  <w:style w:type="table" w:customStyle="1" w:styleId="Tablaelegante4">
    <w:name w:val="Tabla elegante4"/>
    <w:basedOn w:val="Tablanormal"/>
    <w:next w:val="Tablaelegante"/>
    <w:rsid w:val="00E85802"/>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Pa10">
    <w:name w:val="Pa10"/>
    <w:basedOn w:val="Default"/>
    <w:next w:val="Default"/>
    <w:rsid w:val="00E85802"/>
    <w:pPr>
      <w:spacing w:line="781" w:lineRule="atLeast"/>
    </w:pPr>
    <w:rPr>
      <w:rFonts w:ascii="Eureka Sans" w:hAnsi="Eureka Sans"/>
      <w:color w:val="auto"/>
      <w:lang w:val="es-ES"/>
    </w:rPr>
  </w:style>
  <w:style w:type="character" w:customStyle="1" w:styleId="A6">
    <w:name w:val="A6"/>
    <w:rsid w:val="00E85802"/>
    <w:rPr>
      <w:rFonts w:cs="Eureka Sans"/>
      <w:color w:val="000000"/>
      <w:sz w:val="27"/>
      <w:szCs w:val="27"/>
    </w:rPr>
  </w:style>
  <w:style w:type="paragraph" w:customStyle="1" w:styleId="inciso0">
    <w:name w:val="inciso"/>
    <w:basedOn w:val="Normal"/>
    <w:rsid w:val="00E85802"/>
    <w:pPr>
      <w:spacing w:after="0" w:line="240" w:lineRule="auto"/>
      <w:ind w:firstLine="567"/>
      <w:jc w:val="both"/>
    </w:pPr>
    <w:rPr>
      <w:rFonts w:ascii="Arial" w:eastAsia="Times New Roman" w:hAnsi="Arial"/>
      <w:sz w:val="20"/>
      <w:szCs w:val="20"/>
      <w:lang w:val="es-ES" w:eastAsia="es-ES"/>
    </w:rPr>
  </w:style>
  <w:style w:type="paragraph" w:customStyle="1" w:styleId="Fraccin">
    <w:name w:val="Fracción"/>
    <w:basedOn w:val="Normal"/>
    <w:rsid w:val="00E85802"/>
    <w:pPr>
      <w:spacing w:after="0" w:line="240" w:lineRule="auto"/>
      <w:ind w:firstLine="567"/>
      <w:jc w:val="both"/>
    </w:pPr>
    <w:rPr>
      <w:rFonts w:ascii="Arial" w:eastAsia="Times New Roman" w:hAnsi="Arial"/>
      <w:sz w:val="20"/>
      <w:szCs w:val="20"/>
      <w:lang w:val="es-ES" w:eastAsia="es-ES"/>
    </w:rPr>
  </w:style>
  <w:style w:type="character" w:customStyle="1" w:styleId="Ttulo1Car1">
    <w:name w:val="Título 1 Car1"/>
    <w:aliases w:val="título 1 Car1,Part Title Car2,Part Title Car Car1"/>
    <w:uiPriority w:val="9"/>
    <w:rsid w:val="00E85802"/>
    <w:rPr>
      <w:rFonts w:ascii="Cambria" w:eastAsia="Times New Roman" w:hAnsi="Cambria" w:cs="Times New Roman"/>
      <w:color w:val="365F91"/>
      <w:sz w:val="32"/>
      <w:szCs w:val="32"/>
    </w:rPr>
  </w:style>
  <w:style w:type="character" w:customStyle="1" w:styleId="Ttulo2Car1">
    <w:name w:val="Título 2 Car1"/>
    <w:aliases w:val="título 2 Car1,Chapter Title Car1"/>
    <w:semiHidden/>
    <w:rsid w:val="00E85802"/>
    <w:rPr>
      <w:rFonts w:ascii="Cambria" w:eastAsia="Times New Roman" w:hAnsi="Cambria" w:cs="Times New Roman"/>
      <w:color w:val="365F91"/>
      <w:sz w:val="26"/>
      <w:szCs w:val="26"/>
    </w:rPr>
  </w:style>
  <w:style w:type="character" w:customStyle="1" w:styleId="Ttulo3Car1">
    <w:name w:val="Título 3 Car1"/>
    <w:aliases w:val="título 3 Car1,Section Title Car1"/>
    <w:uiPriority w:val="9"/>
    <w:semiHidden/>
    <w:rsid w:val="00E85802"/>
    <w:rPr>
      <w:rFonts w:ascii="Cambria" w:eastAsia="Times New Roman" w:hAnsi="Cambria" w:cs="Times New Roman"/>
      <w:color w:val="243F60"/>
      <w:sz w:val="24"/>
      <w:szCs w:val="24"/>
    </w:rPr>
  </w:style>
  <w:style w:type="character" w:customStyle="1" w:styleId="Ttulo4Car1">
    <w:name w:val="Título 4 Car1"/>
    <w:aliases w:val="Map Title Car1"/>
    <w:uiPriority w:val="9"/>
    <w:semiHidden/>
    <w:rsid w:val="00E85802"/>
    <w:rPr>
      <w:rFonts w:ascii="Cambria" w:eastAsia="Times New Roman" w:hAnsi="Cambria" w:cs="Times New Roman"/>
      <w:i/>
      <w:iCs/>
      <w:color w:val="365F91"/>
      <w:sz w:val="22"/>
      <w:szCs w:val="22"/>
    </w:rPr>
  </w:style>
  <w:style w:type="paragraph" w:customStyle="1" w:styleId="corte4fondo1">
    <w:name w:val="corte4 fondo1"/>
    <w:basedOn w:val="Normal"/>
    <w:rsid w:val="00E85802"/>
    <w:pPr>
      <w:spacing w:after="0" w:line="360" w:lineRule="auto"/>
      <w:ind w:firstLine="709"/>
      <w:jc w:val="both"/>
    </w:pPr>
    <w:rPr>
      <w:rFonts w:ascii="Arial" w:eastAsia="Times New Roman" w:hAnsi="Arial"/>
      <w:sz w:val="30"/>
      <w:szCs w:val="24"/>
      <w:lang w:val="es-ES_tradnl" w:eastAsia="es-MX"/>
    </w:rPr>
  </w:style>
  <w:style w:type="paragraph" w:customStyle="1" w:styleId="ImportWordListStyleDefinition3">
    <w:name w:val="Import Word List Style Definition 3"/>
    <w:rsid w:val="00E85802"/>
    <w:pPr>
      <w:numPr>
        <w:numId w:val="12"/>
      </w:numPr>
      <w:ind w:left="0" w:firstLine="0"/>
    </w:pPr>
    <w:rPr>
      <w:rFonts w:ascii="Times New Roman" w:eastAsia="Times New Roman" w:hAnsi="Times New Roman"/>
    </w:rPr>
  </w:style>
  <w:style w:type="paragraph" w:customStyle="1" w:styleId="ImportWordListStyleDefinition9">
    <w:name w:val="Import Word List Style Definition 9"/>
    <w:rsid w:val="00E85802"/>
    <w:pPr>
      <w:numPr>
        <w:numId w:val="13"/>
      </w:numPr>
      <w:ind w:left="0" w:firstLine="0"/>
    </w:pPr>
    <w:rPr>
      <w:rFonts w:ascii="Times New Roman" w:eastAsia="Times New Roman" w:hAnsi="Times New Roman"/>
    </w:rPr>
  </w:style>
  <w:style w:type="paragraph" w:customStyle="1" w:styleId="ImportWordListStyleDefinition6">
    <w:name w:val="Import Word List Style Definition 6"/>
    <w:rsid w:val="00E85802"/>
    <w:pPr>
      <w:numPr>
        <w:numId w:val="14"/>
      </w:numPr>
      <w:ind w:left="0" w:firstLine="0"/>
    </w:pPr>
    <w:rPr>
      <w:rFonts w:ascii="Times New Roman" w:eastAsia="Times New Roman" w:hAnsi="Times New Roman"/>
    </w:rPr>
  </w:style>
  <w:style w:type="paragraph" w:customStyle="1" w:styleId="ImportWordListStyleDefinition4">
    <w:name w:val="Import Word List Style Definition 4"/>
    <w:rsid w:val="00E85802"/>
    <w:pPr>
      <w:numPr>
        <w:numId w:val="15"/>
      </w:numPr>
      <w:ind w:left="0" w:firstLine="0"/>
    </w:pPr>
    <w:rPr>
      <w:rFonts w:ascii="Times New Roman" w:eastAsia="Times New Roman" w:hAnsi="Times New Roman"/>
    </w:rPr>
  </w:style>
  <w:style w:type="paragraph" w:customStyle="1" w:styleId="xmsonormal">
    <w:name w:val="x_msonormal"/>
    <w:basedOn w:val="Normal"/>
    <w:rsid w:val="00E85802"/>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beceraypie">
    <w:name w:val="Cabecera y pie"/>
    <w:rsid w:val="00E85802"/>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Letra">
    <w:name w:val="Letra"/>
    <w:rsid w:val="00E85802"/>
    <w:pPr>
      <w:numPr>
        <w:numId w:val="16"/>
      </w:numPr>
    </w:pPr>
  </w:style>
  <w:style w:type="character" w:customStyle="1" w:styleId="lbl-encabezado-negro">
    <w:name w:val="lbl-encabezado-negro"/>
    <w:rsid w:val="00E85802"/>
  </w:style>
  <w:style w:type="paragraph" w:customStyle="1" w:styleId="francesa">
    <w:name w:val="francesa"/>
    <w:basedOn w:val="Normal"/>
    <w:rsid w:val="00E85802"/>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nota">
    <w:name w:val="nota"/>
    <w:basedOn w:val="Normal"/>
    <w:rsid w:val="00E85802"/>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n2">
    <w:name w:val="n2"/>
    <w:basedOn w:val="Normal"/>
    <w:rsid w:val="00E85802"/>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j">
    <w:name w:val="j"/>
    <w:basedOn w:val="Normal"/>
    <w:rsid w:val="00E85802"/>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acep">
    <w:name w:val="n_acep"/>
    <w:rsid w:val="00E85802"/>
  </w:style>
  <w:style w:type="table" w:customStyle="1" w:styleId="Cuadrculaclara-nfasis41">
    <w:name w:val="Cuadrícula clara - Énfasis 41"/>
    <w:basedOn w:val="Tablanormal"/>
    <w:next w:val="Cuadrculaclara-nfasis4"/>
    <w:uiPriority w:val="62"/>
    <w:rsid w:val="00E85802"/>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staclara-nfasis41">
    <w:name w:val="Lista clara - Énfasis 41"/>
    <w:basedOn w:val="Tablanormal"/>
    <w:next w:val="Listaclara-nfasis4"/>
    <w:uiPriority w:val="61"/>
    <w:rsid w:val="00E85802"/>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Listaconvietas">
    <w:name w:val="List Bullet"/>
    <w:basedOn w:val="Normal"/>
    <w:uiPriority w:val="99"/>
    <w:semiHidden/>
    <w:unhideWhenUsed/>
    <w:rsid w:val="00E85802"/>
    <w:pPr>
      <w:contextualSpacing/>
    </w:pPr>
  </w:style>
  <w:style w:type="table" w:styleId="Cuadrculaclara-nfasis4">
    <w:name w:val="Light Grid Accent 4"/>
    <w:basedOn w:val="Tablanormal"/>
    <w:uiPriority w:val="62"/>
    <w:rsid w:val="00E8580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staclara-nfasis4">
    <w:name w:val="Light List Accent 4"/>
    <w:basedOn w:val="Tablanormal"/>
    <w:uiPriority w:val="61"/>
    <w:rsid w:val="00E8580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4/6343_2A.pdf" TargetMode="External"/><Relationship Id="rId13" Type="http://schemas.openxmlformats.org/officeDocument/2006/relationships/hyperlink" Target="javascript:AbrirModal(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Modal(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of.gob.mx/nota_detalle.php?codigo=5394003&amp;fecha=27/05/201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riodico.morelos.gob.mx/obtenerPDF/2025/6479.pdf" TargetMode="External"/><Relationship Id="rId14" Type="http://schemas.openxmlformats.org/officeDocument/2006/relationships/hyperlink" Target="javascript:AbrirModal(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152</TotalTime>
  <Pages>1</Pages>
  <Words>39867</Words>
  <Characters>219270</Characters>
  <Application>Microsoft Office Word</Application>
  <DocSecurity>0</DocSecurity>
  <Lines>1827</Lines>
  <Paragraphs>517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6</cp:revision>
  <cp:lastPrinted>2026-09-08T16:25:00Z</cp:lastPrinted>
  <dcterms:created xsi:type="dcterms:W3CDTF">2026-09-02T15:20:00Z</dcterms:created>
  <dcterms:modified xsi:type="dcterms:W3CDTF">2026-09-08T16:26:00Z</dcterms:modified>
</cp:coreProperties>
</file>